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0"/>
        <w:jc w:val="both"/>
        <w:rPr>
          <w:rFonts w:eastAsia="宋体"/>
          <w:b/>
          <w:color w:val="FFFFFF"/>
          <w:sz w:val="22"/>
          <w:szCs w:val="22"/>
          <w:lang w:val="en-US" w:eastAsia="zh-CN"/>
        </w:rPr>
      </w:pPr>
      <w:bookmarkStart w:id="0" w:name="OLE_LINK6"/>
      <w:r>
        <w:rPr>
          <w:b/>
          <w:sz w:val="22"/>
          <w:szCs w:val="22"/>
          <w:lang w:val="sv-SE" w:eastAsia="zh-CN"/>
        </w:rPr>
        <w:t>3GPP TSG</w:t>
      </w:r>
      <w:r>
        <w:rPr>
          <w:rFonts w:hint="eastAsia" w:eastAsia="宋体"/>
          <w:b/>
          <w:sz w:val="22"/>
          <w:szCs w:val="22"/>
          <w:lang w:val="sv-SE" w:eastAsia="zh-CN"/>
        </w:rPr>
        <w:t xml:space="preserve"> </w:t>
      </w:r>
      <w:r>
        <w:rPr>
          <w:b/>
          <w:sz w:val="22"/>
          <w:szCs w:val="22"/>
          <w:lang w:val="sv-SE" w:eastAsia="zh-CN"/>
        </w:rPr>
        <w:t>RAN</w:t>
      </w:r>
      <w:r>
        <w:rPr>
          <w:rFonts w:hint="eastAsia" w:eastAsia="宋体"/>
          <w:b/>
          <w:sz w:val="22"/>
          <w:szCs w:val="22"/>
          <w:lang w:val="sv-SE" w:eastAsia="zh-CN"/>
        </w:rPr>
        <w:t xml:space="preserve"> WG</w:t>
      </w:r>
      <w:r>
        <w:rPr>
          <w:rFonts w:hint="eastAsia"/>
          <w:b/>
          <w:sz w:val="22"/>
          <w:szCs w:val="22"/>
          <w:lang w:val="sv-SE" w:eastAsia="zh-CN"/>
        </w:rPr>
        <w:t>1</w:t>
      </w:r>
      <w:r>
        <w:rPr>
          <w:rFonts w:hint="eastAsia" w:eastAsia="宋体"/>
          <w:b/>
          <w:sz w:val="22"/>
          <w:szCs w:val="22"/>
          <w:lang w:val="en-US" w:eastAsia="zh-CN"/>
        </w:rPr>
        <w:t xml:space="preserve"> </w:t>
      </w:r>
      <w:r>
        <w:rPr>
          <w:rFonts w:eastAsia="宋体"/>
          <w:b/>
          <w:sz w:val="22"/>
          <w:szCs w:val="22"/>
          <w:lang w:val="sv-SE" w:eastAsia="zh-CN"/>
        </w:rPr>
        <w:t>Meeting</w:t>
      </w:r>
      <w:r>
        <w:rPr>
          <w:rFonts w:hint="eastAsia" w:eastAsia="宋体"/>
          <w:b/>
          <w:sz w:val="22"/>
          <w:szCs w:val="22"/>
          <w:lang w:val="sv-SE" w:eastAsia="zh-CN"/>
        </w:rPr>
        <w:t xml:space="preserve"> </w:t>
      </w:r>
      <w:r>
        <w:rPr>
          <w:rFonts w:hint="eastAsia" w:eastAsia="宋体"/>
          <w:b/>
          <w:sz w:val="22"/>
          <w:szCs w:val="22"/>
          <w:lang w:val="en-US" w:eastAsia="zh-CN"/>
        </w:rPr>
        <w:t>#98bis</w:t>
      </w:r>
      <w:r>
        <w:rPr>
          <w:rFonts w:hint="eastAsia" w:eastAsia="宋体"/>
          <w:b/>
          <w:sz w:val="22"/>
          <w:szCs w:val="22"/>
          <w:lang w:val="en-US" w:eastAsia="zh-CN"/>
        </w:rPr>
        <w:tab/>
      </w:r>
      <w:r>
        <w:rPr>
          <w:rFonts w:eastAsia="宋体"/>
          <w:b/>
          <w:sz w:val="22"/>
          <w:szCs w:val="22"/>
          <w:lang w:val="sv-SE" w:eastAsia="zh-CN"/>
        </w:rPr>
        <w:t>R1-</w:t>
      </w:r>
      <w:r>
        <w:rPr>
          <w:rFonts w:hint="eastAsia" w:eastAsia="宋体"/>
          <w:b/>
          <w:sz w:val="22"/>
          <w:szCs w:val="22"/>
          <w:lang w:val="en-US" w:eastAsia="zh-CN"/>
        </w:rPr>
        <w:t>1909973</w:t>
      </w:r>
    </w:p>
    <w:p>
      <w:pPr>
        <w:pStyle w:val="94"/>
        <w:tabs>
          <w:tab w:val="right" w:pos="9270"/>
        </w:tabs>
        <w:spacing w:after="0"/>
        <w:ind w:right="134"/>
        <w:jc w:val="both"/>
        <w:rPr>
          <w:b/>
          <w:sz w:val="22"/>
          <w:szCs w:val="22"/>
          <w:lang w:val="sv-SE"/>
        </w:rPr>
      </w:pPr>
      <w:r>
        <w:rPr>
          <w:rFonts w:hint="eastAsia" w:eastAsia="宋体"/>
          <w:b/>
          <w:sz w:val="22"/>
          <w:szCs w:val="22"/>
          <w:lang w:val="en-US" w:eastAsia="zh-CN"/>
        </w:rPr>
        <w:t>ChongQing</w:t>
      </w:r>
      <w:r>
        <w:rPr>
          <w:rFonts w:eastAsia="宋体"/>
          <w:b/>
          <w:sz w:val="22"/>
          <w:szCs w:val="22"/>
          <w:lang w:val="sv-SE" w:eastAsia="ja-JP"/>
        </w:rPr>
        <w:t xml:space="preserve">, </w:t>
      </w:r>
      <w:r>
        <w:rPr>
          <w:rFonts w:hint="eastAsia" w:eastAsia="宋体"/>
          <w:b/>
          <w:sz w:val="22"/>
          <w:szCs w:val="22"/>
          <w:lang w:val="en-US" w:eastAsia="zh-CN"/>
        </w:rPr>
        <w:t>China</w:t>
      </w:r>
      <w:r>
        <w:rPr>
          <w:rFonts w:eastAsia="宋体"/>
          <w:b/>
          <w:sz w:val="22"/>
          <w:szCs w:val="22"/>
          <w:lang w:val="sv-SE" w:eastAsia="ja-JP"/>
        </w:rPr>
        <w:t xml:space="preserve">, </w:t>
      </w:r>
      <w:r>
        <w:rPr>
          <w:rFonts w:hint="eastAsia" w:eastAsia="宋体"/>
          <w:b/>
          <w:sz w:val="22"/>
          <w:szCs w:val="22"/>
          <w:lang w:val="en-US" w:eastAsia="zh-CN"/>
        </w:rPr>
        <w:t>14</w:t>
      </w:r>
      <w:r>
        <w:rPr>
          <w:rFonts w:eastAsia="宋体"/>
          <w:b/>
          <w:sz w:val="22"/>
          <w:szCs w:val="22"/>
          <w:vertAlign w:val="superscript"/>
          <w:lang w:val="sv-SE" w:eastAsia="ja-JP"/>
        </w:rPr>
        <w:t>th</w:t>
      </w:r>
      <w:r>
        <w:rPr>
          <w:rFonts w:eastAsia="宋体"/>
          <w:b/>
          <w:sz w:val="22"/>
          <w:szCs w:val="22"/>
          <w:lang w:val="sv-SE" w:eastAsia="ja-JP"/>
        </w:rPr>
        <w:t xml:space="preserve"> – </w:t>
      </w:r>
      <w:r>
        <w:rPr>
          <w:rFonts w:hint="eastAsia" w:eastAsia="宋体"/>
          <w:b/>
          <w:sz w:val="22"/>
          <w:szCs w:val="22"/>
          <w:lang w:val="en-US" w:eastAsia="zh-CN"/>
        </w:rPr>
        <w:t>18</w:t>
      </w:r>
      <w:r>
        <w:rPr>
          <w:rFonts w:eastAsia="宋体"/>
          <w:b/>
          <w:sz w:val="22"/>
          <w:szCs w:val="22"/>
          <w:vertAlign w:val="superscript"/>
          <w:lang w:val="sv-SE" w:eastAsia="ja-JP"/>
        </w:rPr>
        <w:t>th</w:t>
      </w:r>
      <w:r>
        <w:rPr>
          <w:rFonts w:eastAsia="宋体"/>
          <w:b/>
          <w:sz w:val="22"/>
          <w:szCs w:val="22"/>
          <w:lang w:val="sv-SE" w:eastAsia="ja-JP"/>
        </w:rPr>
        <w:t xml:space="preserve"> </w:t>
      </w:r>
      <w:r>
        <w:rPr>
          <w:rFonts w:hint="eastAsia" w:eastAsia="宋体"/>
          <w:b/>
          <w:sz w:val="22"/>
          <w:szCs w:val="22"/>
          <w:lang w:val="en-US" w:eastAsia="zh-CN"/>
        </w:rPr>
        <w:t>October</w:t>
      </w:r>
      <w:r>
        <w:rPr>
          <w:rFonts w:eastAsia="宋体"/>
          <w:b/>
          <w:sz w:val="22"/>
          <w:szCs w:val="22"/>
          <w:lang w:val="sv-SE" w:eastAsia="ja-JP"/>
        </w:rPr>
        <w:t xml:space="preserve">, </w:t>
      </w:r>
      <w:r>
        <w:rPr>
          <w:rFonts w:hint="eastAsia" w:eastAsia="宋体"/>
          <w:b/>
          <w:sz w:val="22"/>
          <w:szCs w:val="22"/>
          <w:lang w:val="sv-SE" w:eastAsia="zh-CN"/>
        </w:rPr>
        <w:t>201</w:t>
      </w:r>
      <w:r>
        <w:rPr>
          <w:rFonts w:hint="eastAsia" w:eastAsia="宋体"/>
          <w:b/>
          <w:sz w:val="22"/>
          <w:szCs w:val="22"/>
          <w:lang w:val="en-US" w:eastAsia="zh-CN"/>
        </w:rPr>
        <w:t>9</w:t>
      </w:r>
    </w:p>
    <w:p>
      <w:pPr>
        <w:pStyle w:val="21"/>
        <w:spacing w:after="0" w:line="260" w:lineRule="auto"/>
        <w:ind w:left="1797" w:hanging="1797"/>
        <w:rPr>
          <w:rFonts w:eastAsia="宋体"/>
          <w:sz w:val="22"/>
          <w:szCs w:val="22"/>
          <w:lang w:eastAsia="zh-CN"/>
        </w:rPr>
      </w:pPr>
    </w:p>
    <w:p>
      <w:pPr>
        <w:pStyle w:val="21"/>
        <w:spacing w:after="0" w:line="260" w:lineRule="auto"/>
        <w:ind w:left="1797" w:hanging="1797"/>
        <w:rPr>
          <w:rFonts w:eastAsia="宋体"/>
          <w:sz w:val="22"/>
          <w:szCs w:val="22"/>
          <w:lang w:eastAsia="zh-CN"/>
        </w:rPr>
      </w:pPr>
      <w:r>
        <w:rPr>
          <w:rFonts w:eastAsia="宋体"/>
          <w:sz w:val="22"/>
          <w:szCs w:val="22"/>
          <w:lang w:eastAsia="zh-CN"/>
        </w:rPr>
        <w:t>Title:</w:t>
      </w:r>
      <w:r>
        <w:rPr>
          <w:rFonts w:hint="eastAsia" w:eastAsia="宋体"/>
          <w:sz w:val="22"/>
          <w:szCs w:val="22"/>
          <w:lang w:val="en-US" w:eastAsia="zh-CN"/>
        </w:rPr>
        <w:tab/>
      </w:r>
      <w:r>
        <w:rPr>
          <w:rFonts w:hint="eastAsia" w:eastAsia="宋体"/>
          <w:sz w:val="22"/>
          <w:szCs w:val="22"/>
          <w:lang w:val="en-US" w:eastAsia="zh-CN"/>
        </w:rPr>
        <w:t>Considerations on UL reference signals and channels design for NR-U</w:t>
      </w:r>
    </w:p>
    <w:p>
      <w:pPr>
        <w:pStyle w:val="21"/>
        <w:tabs>
          <w:tab w:val="left" w:pos="1805"/>
        </w:tabs>
        <w:spacing w:after="0" w:line="260" w:lineRule="auto"/>
        <w:ind w:left="1797" w:hanging="1797"/>
        <w:jc w:val="both"/>
        <w:rPr>
          <w:sz w:val="22"/>
          <w:szCs w:val="22"/>
          <w:lang w:eastAsia="zh-CN"/>
        </w:rPr>
      </w:pPr>
      <w:r>
        <w:rPr>
          <w:rFonts w:eastAsia="宋体"/>
          <w:sz w:val="22"/>
          <w:szCs w:val="22"/>
          <w:lang w:eastAsia="zh-CN"/>
        </w:rPr>
        <w:t xml:space="preserve">Source: </w:t>
      </w:r>
      <w:r>
        <w:rPr>
          <w:sz w:val="22"/>
          <w:szCs w:val="22"/>
          <w:lang w:eastAsia="zh-CN"/>
        </w:rPr>
        <w:tab/>
      </w:r>
      <w:r>
        <w:rPr>
          <w:rFonts w:eastAsia="宋体"/>
          <w:sz w:val="22"/>
          <w:szCs w:val="22"/>
          <w:lang w:eastAsia="zh-CN"/>
        </w:rPr>
        <w:t>ZTE, Sanechips</w:t>
      </w:r>
    </w:p>
    <w:p>
      <w:pPr>
        <w:pStyle w:val="21"/>
        <w:tabs>
          <w:tab w:val="left" w:pos="1800"/>
        </w:tabs>
        <w:spacing w:after="0" w:line="260" w:lineRule="auto"/>
        <w:jc w:val="both"/>
        <w:rPr>
          <w:sz w:val="22"/>
          <w:szCs w:val="22"/>
          <w:lang w:eastAsia="zh-CN"/>
        </w:rPr>
      </w:pPr>
      <w:r>
        <w:rPr>
          <w:rFonts w:eastAsia="宋体"/>
          <w:sz w:val="22"/>
          <w:szCs w:val="22"/>
          <w:lang w:eastAsia="zh-CN"/>
        </w:rPr>
        <w:t>Agenda Item:</w:t>
      </w:r>
      <w:r>
        <w:rPr>
          <w:sz w:val="22"/>
          <w:szCs w:val="22"/>
          <w:lang w:eastAsia="zh-CN"/>
        </w:rPr>
        <w:tab/>
      </w:r>
      <w:r>
        <w:rPr>
          <w:rFonts w:hint="eastAsia" w:eastAsia="宋体"/>
          <w:sz w:val="22"/>
          <w:szCs w:val="22"/>
          <w:lang w:val="en-US" w:eastAsia="zh-CN"/>
        </w:rPr>
        <w:t>7</w:t>
      </w:r>
      <w:r>
        <w:rPr>
          <w:rFonts w:hint="eastAsia" w:eastAsia="宋体"/>
          <w:sz w:val="22"/>
          <w:szCs w:val="22"/>
          <w:lang w:val="sv-SE" w:eastAsia="zh-CN"/>
        </w:rPr>
        <w:t>.</w:t>
      </w:r>
      <w:r>
        <w:rPr>
          <w:rFonts w:hint="eastAsia" w:eastAsia="宋体"/>
          <w:sz w:val="22"/>
          <w:szCs w:val="22"/>
          <w:lang w:val="en-US" w:eastAsia="zh-CN"/>
        </w:rPr>
        <w:t>2.2</w:t>
      </w:r>
      <w:r>
        <w:rPr>
          <w:rFonts w:hint="eastAsia" w:eastAsia="宋体"/>
          <w:sz w:val="22"/>
          <w:szCs w:val="22"/>
          <w:lang w:val="sv-SE" w:eastAsia="zh-CN"/>
        </w:rPr>
        <w:t>.</w:t>
      </w:r>
      <w:r>
        <w:rPr>
          <w:rFonts w:hint="eastAsia" w:eastAsia="宋体"/>
          <w:sz w:val="22"/>
          <w:szCs w:val="22"/>
          <w:lang w:val="en-US" w:eastAsia="zh-CN"/>
        </w:rPr>
        <w:t>1.3</w:t>
      </w:r>
    </w:p>
    <w:p>
      <w:pPr>
        <w:pStyle w:val="21"/>
        <w:tabs>
          <w:tab w:val="left" w:pos="1800"/>
        </w:tabs>
        <w:spacing w:after="0" w:line="260" w:lineRule="auto"/>
        <w:jc w:val="both"/>
        <w:rPr>
          <w:sz w:val="22"/>
          <w:szCs w:val="22"/>
          <w:lang w:eastAsia="zh-CN"/>
        </w:rPr>
      </w:pPr>
      <w:r>
        <w:rPr>
          <w:rFonts w:eastAsia="宋体"/>
          <w:sz w:val="22"/>
          <w:szCs w:val="22"/>
          <w:lang w:eastAsia="zh-CN"/>
        </w:rPr>
        <w:t>Document for:</w:t>
      </w:r>
      <w:r>
        <w:rPr>
          <w:sz w:val="22"/>
          <w:szCs w:val="22"/>
          <w:lang w:eastAsia="zh-CN"/>
        </w:rPr>
        <w:tab/>
      </w:r>
      <w:r>
        <w:rPr>
          <w:rFonts w:eastAsia="宋体"/>
          <w:sz w:val="22"/>
          <w:szCs w:val="22"/>
          <w:lang w:eastAsia="zh-CN"/>
        </w:rPr>
        <w:t>Discussion and Decision</w:t>
      </w:r>
    </w:p>
    <w:p>
      <w:pPr>
        <w:pStyle w:val="2"/>
        <w:tabs>
          <w:tab w:val="left" w:pos="6139"/>
        </w:tabs>
        <w:spacing w:before="360"/>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Introduction</w:t>
      </w:r>
      <w:r>
        <w:rPr>
          <w:rFonts w:hint="eastAsia" w:eastAsia="宋体" w:cs="Arial"/>
          <w:b/>
          <w:sz w:val="28"/>
          <w:szCs w:val="28"/>
          <w:lang w:eastAsia="zh-CN"/>
        </w:rPr>
        <w:tab/>
      </w:r>
    </w:p>
    <w:p>
      <w:pPr>
        <w:widowControl w:val="0"/>
        <w:autoSpaceDE w:val="0"/>
        <w:autoSpaceDN w:val="0"/>
        <w:adjustRightInd w:val="0"/>
        <w:spacing w:before="180"/>
        <w:jc w:val="both"/>
        <w:rPr>
          <w:rFonts w:hint="eastAsia" w:eastAsia="宋体"/>
          <w:lang w:val="en-US" w:eastAsia="zh-CN"/>
        </w:rPr>
      </w:pPr>
      <w:bookmarkStart w:id="1" w:name="OLE_LINK15"/>
      <w:bookmarkStart w:id="2" w:name="OLE_LINK16"/>
      <w:bookmarkStart w:id="3" w:name="OLE_LINK1"/>
      <w:bookmarkStart w:id="4" w:name="OLE_LINK2"/>
      <w:r>
        <w:rPr>
          <w:rFonts w:hint="eastAsia"/>
          <w:lang w:val="en-US" w:eastAsia="zh-CN"/>
        </w:rPr>
        <w:t xml:space="preserve"> </w:t>
      </w:r>
      <w:r>
        <w:rPr>
          <w:rFonts w:eastAsia="宋体"/>
          <w:lang w:val="en-US" w:eastAsia="zh-CN"/>
        </w:rPr>
        <w:t>In</w:t>
      </w:r>
      <w:r>
        <w:rPr>
          <w:rFonts w:hint="eastAsia" w:eastAsia="宋体"/>
          <w:lang w:val="en-US" w:eastAsia="zh-CN"/>
        </w:rPr>
        <w:t xml:space="preserve"> RAN1 #98 meeting[1], the </w:t>
      </w:r>
      <w:r>
        <w:rPr>
          <w:rFonts w:eastAsia="宋体"/>
          <w:lang w:val="en-US" w:eastAsia="zh-CN"/>
        </w:rPr>
        <w:t>following</w:t>
      </w:r>
      <w:r>
        <w:rPr>
          <w:rFonts w:hint="eastAsia" w:eastAsia="宋体"/>
          <w:lang w:val="en-US" w:eastAsia="zh-CN"/>
        </w:rPr>
        <w:t xml:space="preserve"> agreements </w:t>
      </w:r>
      <w:r>
        <w:rPr>
          <w:rFonts w:eastAsia="宋体"/>
          <w:lang w:val="en-US" w:eastAsia="zh-CN"/>
        </w:rPr>
        <w:t>were</w:t>
      </w:r>
      <w:r>
        <w:rPr>
          <w:rFonts w:hint="eastAsia" w:eastAsia="宋体"/>
          <w:lang w:val="en-US" w:eastAsia="zh-CN"/>
        </w:rPr>
        <w:t xml:space="preserve"> reached on UL signals and channels design for NR-U.</w:t>
      </w:r>
    </w:p>
    <w:p>
      <w:pPr>
        <w:spacing w:after="0"/>
        <w:rPr>
          <w:lang w:eastAsia="zh-CN"/>
        </w:rPr>
      </w:pPr>
      <w:r>
        <w:rPr>
          <w:highlight w:val="green"/>
          <w:lang w:eastAsia="zh-CN"/>
        </w:rPr>
        <w:t>Agreement:</w:t>
      </w:r>
    </w:p>
    <w:p>
      <w:pPr>
        <w:spacing w:after="0"/>
        <w:rPr>
          <w:i/>
          <w:iCs/>
          <w:color w:val="auto"/>
          <w:lang w:eastAsia="zh-CN"/>
        </w:rPr>
      </w:pPr>
      <w:r>
        <w:rPr>
          <w:i/>
          <w:iCs/>
          <w:color w:val="auto"/>
          <w:lang w:eastAsia="zh-CN"/>
        </w:rPr>
        <w:t>The working assumption from RAN1 AH1901 is converted to an agreement with the following modifications:</w:t>
      </w:r>
    </w:p>
    <w:p>
      <w:pPr>
        <w:numPr>
          <w:ilvl w:val="0"/>
          <w:numId w:val="10"/>
        </w:numPr>
        <w:overflowPunct/>
        <w:autoSpaceDE/>
        <w:autoSpaceDN/>
        <w:adjustRightInd/>
        <w:spacing w:after="0"/>
        <w:ind w:left="927"/>
        <w:textAlignment w:val="auto"/>
        <w:rPr>
          <w:i/>
          <w:iCs/>
          <w:color w:val="auto"/>
          <w:lang w:eastAsia="zh-CN"/>
        </w:rPr>
      </w:pPr>
      <w:r>
        <w:rPr>
          <w:i/>
          <w:iCs/>
          <w:color w:val="auto"/>
          <w:lang w:eastAsia="zh-CN"/>
        </w:rPr>
        <w:t xml:space="preserve">For a given SCS, the following </w:t>
      </w:r>
      <w:r>
        <w:rPr>
          <w:i/>
          <w:iCs/>
          <w:color w:val="auto"/>
          <w:lang w:eastAsia="zh-CN"/>
        </w:rPr>
        <w:t xml:space="preserve">PRB-based </w:t>
      </w:r>
      <w:r>
        <w:rPr>
          <w:i/>
          <w:iCs/>
          <w:color w:val="auto"/>
          <w:lang w:eastAsia="zh-CN"/>
        </w:rPr>
        <w:t xml:space="preserve">interlace design is supported </w:t>
      </w:r>
      <w:bookmarkStart w:id="28" w:name="_GoBack"/>
      <w:bookmarkEnd w:id="28"/>
      <w:r>
        <w:rPr>
          <w:i/>
          <w:iCs/>
          <w:color w:val="auto"/>
          <w:lang w:eastAsia="zh-CN"/>
        </w:rPr>
        <w:t>for PUSCH</w:t>
      </w:r>
      <w:r>
        <w:rPr>
          <w:i/>
          <w:iCs/>
          <w:color w:val="auto"/>
          <w:lang w:eastAsia="zh-CN"/>
        </w:rPr>
        <w:t xml:space="preserve"> and PUCCH</w:t>
      </w:r>
      <w:r>
        <w:rPr>
          <w:i/>
          <w:iCs/>
          <w:color w:val="auto"/>
          <w:lang w:eastAsia="zh-CN"/>
        </w:rPr>
        <w:t>:</w:t>
      </w:r>
    </w:p>
    <w:p>
      <w:pPr>
        <w:numPr>
          <w:ilvl w:val="1"/>
          <w:numId w:val="10"/>
        </w:numPr>
        <w:overflowPunct/>
        <w:autoSpaceDE/>
        <w:autoSpaceDN/>
        <w:adjustRightInd/>
        <w:spacing w:after="0"/>
        <w:ind w:left="1647"/>
        <w:textAlignment w:val="auto"/>
        <w:rPr>
          <w:i/>
          <w:iCs/>
          <w:color w:val="auto"/>
          <w:lang w:eastAsia="zh-CN"/>
        </w:rPr>
      </w:pPr>
      <w:r>
        <w:rPr>
          <w:i/>
          <w:iCs/>
          <w:color w:val="auto"/>
          <w:lang w:eastAsia="zh-CN"/>
        </w:rPr>
        <w:t>Same spacing (M) between consecutive PRBs in an interlace for all interlaces regardless of carrier BW, i.e., the number of PRBs per interlace is dependent on the carrier bandwidth</w:t>
      </w:r>
    </w:p>
    <w:p>
      <w:pPr>
        <w:numPr>
          <w:ilvl w:val="1"/>
          <w:numId w:val="10"/>
        </w:numPr>
        <w:overflowPunct/>
        <w:autoSpaceDE/>
        <w:autoSpaceDN/>
        <w:adjustRightInd/>
        <w:spacing w:after="0"/>
        <w:ind w:left="1647"/>
        <w:textAlignment w:val="auto"/>
        <w:rPr>
          <w:i/>
          <w:iCs/>
          <w:color w:val="auto"/>
          <w:lang w:eastAsia="zh-CN"/>
        </w:rPr>
      </w:pPr>
      <w:r>
        <w:rPr>
          <w:i/>
          <w:iCs/>
          <w:color w:val="auto"/>
          <w:lang w:eastAsia="zh-CN"/>
        </w:rPr>
        <w:t>Point A is the reference for the interlace definition</w:t>
      </w:r>
    </w:p>
    <w:p>
      <w:pPr>
        <w:numPr>
          <w:ilvl w:val="0"/>
          <w:numId w:val="10"/>
        </w:numPr>
        <w:overflowPunct/>
        <w:autoSpaceDE/>
        <w:autoSpaceDN/>
        <w:adjustRightInd/>
        <w:spacing w:after="0"/>
        <w:ind w:left="927"/>
        <w:textAlignment w:val="auto"/>
        <w:rPr>
          <w:i/>
          <w:iCs/>
          <w:color w:val="auto"/>
          <w:lang w:eastAsia="zh-CN"/>
        </w:rPr>
      </w:pPr>
      <w:r>
        <w:rPr>
          <w:i/>
          <w:iCs/>
          <w:color w:val="auto"/>
          <w:lang w:eastAsia="zh-CN"/>
        </w:rPr>
        <w:t>For 15 kHz SCS, M = 10 interlaces and for 30 kHz SCS, M = 5 interlaces for all bandwidths</w:t>
      </w:r>
    </w:p>
    <w:p>
      <w:pPr>
        <w:numPr>
          <w:ilvl w:val="0"/>
          <w:numId w:val="10"/>
        </w:numPr>
        <w:overflowPunct/>
        <w:autoSpaceDE/>
        <w:autoSpaceDN/>
        <w:adjustRightInd/>
        <w:spacing w:after="0"/>
        <w:ind w:left="927"/>
        <w:textAlignment w:val="auto"/>
        <w:rPr>
          <w:i/>
          <w:iCs/>
          <w:color w:val="auto"/>
          <w:lang w:eastAsia="zh-CN"/>
        </w:rPr>
      </w:pPr>
      <w:r>
        <w:rPr>
          <w:i/>
          <w:iCs/>
          <w:color w:val="auto"/>
          <w:lang w:eastAsia="zh-CN"/>
        </w:rPr>
        <w:t xml:space="preserve">FFS: Whether and how partial interlace allocation is supported </w:t>
      </w:r>
      <w:r>
        <w:rPr>
          <w:i/>
          <w:iCs/>
          <w:color w:val="auto"/>
          <w:lang w:eastAsia="zh-CN"/>
        </w:rPr>
        <w:t>considering mechanisms specific to PUSCH and PUCCH</w:t>
      </w:r>
    </w:p>
    <w:p>
      <w:pPr>
        <w:numPr>
          <w:ilvl w:val="0"/>
          <w:numId w:val="10"/>
        </w:numPr>
        <w:overflowPunct/>
        <w:autoSpaceDE/>
        <w:autoSpaceDN/>
        <w:adjustRightInd/>
        <w:spacing w:after="0"/>
        <w:ind w:left="927"/>
        <w:textAlignment w:val="auto"/>
        <w:rPr>
          <w:i/>
          <w:iCs/>
          <w:color w:val="auto"/>
          <w:lang w:eastAsia="zh-CN"/>
        </w:rPr>
      </w:pPr>
      <w:r>
        <w:rPr>
          <w:i/>
          <w:iCs/>
          <w:color w:val="auto"/>
          <w:lang w:eastAsia="zh-CN"/>
        </w:rPr>
        <w:t>FFS: PUCCH bandwidth</w:t>
      </w:r>
    </w:p>
    <w:p>
      <w:pPr>
        <w:numPr>
          <w:ilvl w:val="0"/>
          <w:numId w:val="10"/>
        </w:numPr>
        <w:overflowPunct/>
        <w:autoSpaceDE/>
        <w:autoSpaceDN/>
        <w:adjustRightInd/>
        <w:spacing w:after="0"/>
        <w:ind w:left="927"/>
        <w:textAlignment w:val="auto"/>
        <w:rPr>
          <w:i/>
          <w:iCs/>
          <w:color w:val="auto"/>
          <w:lang w:eastAsia="zh-CN"/>
        </w:rPr>
      </w:pPr>
      <w:r>
        <w:rPr>
          <w:i/>
          <w:iCs/>
          <w:color w:val="auto"/>
          <w:lang w:eastAsia="zh-CN"/>
        </w:rPr>
        <w:t xml:space="preserve">FFS: Whether or how an interlace design for PUSCH and/or PUCCH is supported on 10 MHz according to the revised WID objective </w:t>
      </w:r>
    </w:p>
    <w:p>
      <w:pPr>
        <w:spacing w:after="0"/>
        <w:rPr>
          <w:lang w:eastAsia="zh-CN"/>
        </w:rPr>
      </w:pPr>
      <w:r>
        <w:rPr>
          <w:highlight w:val="green"/>
          <w:lang w:eastAsia="zh-CN"/>
        </w:rPr>
        <w:t>Agreement:</w:t>
      </w:r>
    </w:p>
    <w:p>
      <w:pPr>
        <w:pStyle w:val="16"/>
        <w:overflowPunct w:val="0"/>
        <w:autoSpaceDE w:val="0"/>
        <w:autoSpaceDN w:val="0"/>
        <w:adjustRightInd w:val="0"/>
        <w:spacing w:after="0" w:line="259" w:lineRule="auto"/>
        <w:textAlignment w:val="baseline"/>
        <w:rPr>
          <w:i/>
          <w:iCs/>
          <w:sz w:val="20"/>
        </w:rPr>
      </w:pPr>
      <w:r>
        <w:rPr>
          <w:i/>
          <w:iCs/>
          <w:sz w:val="20"/>
        </w:rPr>
        <w:t xml:space="preserve">Alt-1a (Cycling of cyclic shifts across PRBs of the interlace) is selected from the four alternatives in the RAN1#97 agreement on enhanced Rel-15 PUCCH formats PF0 and PF1 </w:t>
      </w:r>
    </w:p>
    <w:p>
      <w:pPr>
        <w:pStyle w:val="16"/>
        <w:numPr>
          <w:ilvl w:val="0"/>
          <w:numId w:val="11"/>
        </w:numPr>
        <w:overflowPunct w:val="0"/>
        <w:autoSpaceDE w:val="0"/>
        <w:autoSpaceDN w:val="0"/>
        <w:adjustRightInd w:val="0"/>
        <w:spacing w:after="0" w:line="259" w:lineRule="auto"/>
        <w:jc w:val="both"/>
        <w:textAlignment w:val="baseline"/>
        <w:rPr>
          <w:i/>
          <w:iCs/>
          <w:sz w:val="20"/>
        </w:rPr>
      </w:pPr>
      <w:r>
        <w:rPr>
          <w:i/>
          <w:iCs/>
          <w:sz w:val="20"/>
        </w:rPr>
        <w:t>FFS: Cyclic shift ordering</w:t>
      </w:r>
    </w:p>
    <w:p>
      <w:pPr>
        <w:pStyle w:val="16"/>
        <w:overflowPunct w:val="0"/>
        <w:autoSpaceDE w:val="0"/>
        <w:autoSpaceDN w:val="0"/>
        <w:adjustRightInd w:val="0"/>
        <w:spacing w:after="0" w:line="259" w:lineRule="auto"/>
        <w:textAlignment w:val="baseline"/>
        <w:rPr>
          <w:i/>
          <w:iCs/>
          <w:sz w:val="20"/>
        </w:rPr>
      </w:pPr>
      <w:r>
        <w:rPr>
          <w:i/>
          <w:iCs/>
          <w:sz w:val="20"/>
        </w:rPr>
        <w:t>Note: from vivo perspective, the spec-transparent scheme performs similar to the above agreed solution (which has RAN1 spec impact)</w:t>
      </w:r>
    </w:p>
    <w:p>
      <w:pPr>
        <w:spacing w:after="0"/>
        <w:rPr>
          <w:lang w:eastAsia="zh-CN"/>
        </w:rPr>
      </w:pPr>
      <w:r>
        <w:rPr>
          <w:highlight w:val="green"/>
          <w:lang w:eastAsia="zh-CN"/>
        </w:rPr>
        <w:t>Agreement:</w:t>
      </w:r>
    </w:p>
    <w:p>
      <w:pPr>
        <w:spacing w:after="0"/>
        <w:rPr>
          <w:i/>
          <w:iCs/>
          <w:lang w:eastAsia="zh-CN"/>
        </w:rPr>
      </w:pPr>
      <w:r>
        <w:rPr>
          <w:i/>
          <w:iCs/>
          <w:lang w:eastAsia="zh-CN"/>
        </w:rPr>
        <w:t>A bandwidth occupied by a PUCCH resource does not exceed the bandwidth corresponding to a 20 MHz carrier/LBT bandwidth</w:t>
      </w:r>
    </w:p>
    <w:p>
      <w:pPr>
        <w:spacing w:after="0"/>
        <w:rPr>
          <w:lang w:eastAsia="zh-CN"/>
        </w:rPr>
      </w:pPr>
      <w:r>
        <w:rPr>
          <w:highlight w:val="green"/>
          <w:lang w:eastAsia="zh-CN"/>
        </w:rPr>
        <w:t>Agreement:</w:t>
      </w:r>
    </w:p>
    <w:p>
      <w:pPr>
        <w:pStyle w:val="16"/>
        <w:numPr>
          <w:ilvl w:val="0"/>
          <w:numId w:val="12"/>
        </w:numPr>
        <w:overflowPunct w:val="0"/>
        <w:autoSpaceDE w:val="0"/>
        <w:autoSpaceDN w:val="0"/>
        <w:adjustRightInd w:val="0"/>
        <w:spacing w:after="0" w:line="259" w:lineRule="auto"/>
        <w:jc w:val="both"/>
        <w:textAlignment w:val="baseline"/>
        <w:rPr>
          <w:i/>
          <w:iCs/>
          <w:sz w:val="20"/>
        </w:rPr>
      </w:pPr>
      <w:r>
        <w:rPr>
          <w:i/>
          <w:iCs/>
          <w:sz w:val="20"/>
        </w:rPr>
        <w:t>For interlaced PUSCH transmission in a BWP, X bits of the PUSCH frequency domain resource allocation field are used for indicating which combination of M interlaces is allocated to the UE.</w:t>
      </w:r>
    </w:p>
    <w:p>
      <w:pPr>
        <w:pStyle w:val="16"/>
        <w:numPr>
          <w:ilvl w:val="0"/>
          <w:numId w:val="12"/>
        </w:numPr>
        <w:overflowPunct w:val="0"/>
        <w:autoSpaceDE w:val="0"/>
        <w:autoSpaceDN w:val="0"/>
        <w:adjustRightInd w:val="0"/>
        <w:spacing w:after="0" w:line="259" w:lineRule="auto"/>
        <w:jc w:val="both"/>
        <w:textAlignment w:val="baseline"/>
        <w:rPr>
          <w:i/>
          <w:iCs/>
          <w:sz w:val="20"/>
        </w:rPr>
      </w:pPr>
      <w:r>
        <w:rPr>
          <w:i/>
          <w:iCs/>
          <w:sz w:val="20"/>
        </w:rPr>
        <w:t>This applies to PUSCH of the following types:</w:t>
      </w:r>
    </w:p>
    <w:p>
      <w:pPr>
        <w:pStyle w:val="16"/>
        <w:numPr>
          <w:ilvl w:val="1"/>
          <w:numId w:val="12"/>
        </w:numPr>
        <w:overflowPunct w:val="0"/>
        <w:autoSpaceDE w:val="0"/>
        <w:autoSpaceDN w:val="0"/>
        <w:adjustRightInd w:val="0"/>
        <w:spacing w:after="0" w:line="259" w:lineRule="auto"/>
        <w:jc w:val="both"/>
        <w:textAlignment w:val="baseline"/>
        <w:rPr>
          <w:i/>
          <w:iCs/>
          <w:sz w:val="20"/>
        </w:rPr>
      </w:pPr>
      <w:r>
        <w:rPr>
          <w:i/>
          <w:iCs/>
          <w:sz w:val="20"/>
        </w:rPr>
        <w:t>Msg3 PUSCH</w:t>
      </w:r>
    </w:p>
    <w:p>
      <w:pPr>
        <w:pStyle w:val="16"/>
        <w:numPr>
          <w:ilvl w:val="1"/>
          <w:numId w:val="12"/>
        </w:numPr>
        <w:overflowPunct w:val="0"/>
        <w:autoSpaceDE w:val="0"/>
        <w:autoSpaceDN w:val="0"/>
        <w:adjustRightInd w:val="0"/>
        <w:spacing w:after="0" w:line="259" w:lineRule="auto"/>
        <w:jc w:val="both"/>
        <w:textAlignment w:val="baseline"/>
        <w:rPr>
          <w:i/>
          <w:iCs/>
          <w:sz w:val="20"/>
        </w:rPr>
      </w:pPr>
      <w:r>
        <w:rPr>
          <w:i/>
          <w:iCs/>
          <w:sz w:val="20"/>
        </w:rPr>
        <w:t>PUSCH Scheduled by fallback and non-fallback DCI</w:t>
      </w:r>
    </w:p>
    <w:p>
      <w:pPr>
        <w:pStyle w:val="16"/>
        <w:numPr>
          <w:ilvl w:val="1"/>
          <w:numId w:val="12"/>
        </w:numPr>
        <w:overflowPunct w:val="0"/>
        <w:autoSpaceDE w:val="0"/>
        <w:autoSpaceDN w:val="0"/>
        <w:adjustRightInd w:val="0"/>
        <w:spacing w:after="0" w:line="259" w:lineRule="auto"/>
        <w:jc w:val="both"/>
        <w:textAlignment w:val="baseline"/>
        <w:rPr>
          <w:i/>
          <w:iCs/>
          <w:sz w:val="20"/>
        </w:rPr>
      </w:pPr>
      <w:r>
        <w:rPr>
          <w:i/>
          <w:iCs/>
          <w:sz w:val="20"/>
        </w:rPr>
        <w:t>Type 1 and Type 2 Configured Grant PUSCH</w:t>
      </w:r>
    </w:p>
    <w:p>
      <w:pPr>
        <w:pStyle w:val="16"/>
        <w:numPr>
          <w:ilvl w:val="0"/>
          <w:numId w:val="12"/>
        </w:numPr>
        <w:overflowPunct w:val="0"/>
        <w:autoSpaceDE w:val="0"/>
        <w:autoSpaceDN w:val="0"/>
        <w:adjustRightInd w:val="0"/>
        <w:spacing w:after="0" w:line="259" w:lineRule="auto"/>
        <w:jc w:val="both"/>
        <w:textAlignment w:val="baseline"/>
        <w:rPr>
          <w:i/>
          <w:iCs/>
          <w:sz w:val="20"/>
        </w:rPr>
      </w:pPr>
      <w:r>
        <w:rPr>
          <w:i/>
          <w:iCs/>
          <w:sz w:val="20"/>
        </w:rPr>
        <w:t>For 30 kHz SCS</w:t>
      </w:r>
    </w:p>
    <w:p>
      <w:pPr>
        <w:pStyle w:val="16"/>
        <w:numPr>
          <w:ilvl w:val="1"/>
          <w:numId w:val="12"/>
        </w:numPr>
        <w:overflowPunct w:val="0"/>
        <w:autoSpaceDE w:val="0"/>
        <w:autoSpaceDN w:val="0"/>
        <w:adjustRightInd w:val="0"/>
        <w:spacing w:after="0" w:line="259" w:lineRule="auto"/>
        <w:jc w:val="both"/>
        <w:textAlignment w:val="baseline"/>
        <w:rPr>
          <w:i/>
          <w:iCs/>
          <w:sz w:val="20"/>
        </w:rPr>
      </w:pPr>
      <w:r>
        <w:rPr>
          <w:i/>
          <w:iCs/>
          <w:sz w:val="20"/>
        </w:rPr>
        <w:t>Support X = 5 (5-bit bitmap to indicate all possible interlace combinations)</w:t>
      </w:r>
    </w:p>
    <w:p>
      <w:pPr>
        <w:pStyle w:val="16"/>
        <w:numPr>
          <w:ilvl w:val="0"/>
          <w:numId w:val="12"/>
        </w:numPr>
        <w:overflowPunct w:val="0"/>
        <w:autoSpaceDE w:val="0"/>
        <w:autoSpaceDN w:val="0"/>
        <w:adjustRightInd w:val="0"/>
        <w:spacing w:after="0" w:line="259" w:lineRule="auto"/>
        <w:jc w:val="both"/>
        <w:textAlignment w:val="baseline"/>
        <w:rPr>
          <w:i/>
          <w:iCs/>
          <w:sz w:val="20"/>
        </w:rPr>
      </w:pPr>
      <w:r>
        <w:rPr>
          <w:i/>
          <w:iCs/>
          <w:sz w:val="20"/>
        </w:rPr>
        <w:t>For 15 kHz SCS</w:t>
      </w:r>
    </w:p>
    <w:p>
      <w:pPr>
        <w:pStyle w:val="16"/>
        <w:numPr>
          <w:ilvl w:val="1"/>
          <w:numId w:val="12"/>
        </w:numPr>
        <w:overflowPunct w:val="0"/>
        <w:autoSpaceDE w:val="0"/>
        <w:autoSpaceDN w:val="0"/>
        <w:adjustRightInd w:val="0"/>
        <w:spacing w:after="0" w:line="259" w:lineRule="auto"/>
        <w:jc w:val="both"/>
        <w:textAlignment w:val="baseline"/>
        <w:rPr>
          <w:i/>
          <w:iCs/>
          <w:sz w:val="20"/>
        </w:rPr>
      </w:pPr>
      <w:r>
        <w:rPr>
          <w:i/>
          <w:iCs/>
          <w:sz w:val="20"/>
        </w:rPr>
        <w:t>Down-select between the following two alternatives:</w:t>
      </w:r>
    </w:p>
    <w:p>
      <w:pPr>
        <w:pStyle w:val="16"/>
        <w:numPr>
          <w:ilvl w:val="1"/>
          <w:numId w:val="12"/>
        </w:numPr>
        <w:overflowPunct w:val="0"/>
        <w:autoSpaceDE w:val="0"/>
        <w:autoSpaceDN w:val="0"/>
        <w:adjustRightInd w:val="0"/>
        <w:spacing w:after="0" w:line="259" w:lineRule="auto"/>
        <w:jc w:val="both"/>
        <w:textAlignment w:val="baseline"/>
        <w:rPr>
          <w:i/>
          <w:iCs/>
          <w:sz w:val="20"/>
        </w:rPr>
      </w:pPr>
      <w:r>
        <w:rPr>
          <w:i/>
          <w:iCs/>
          <w:sz w:val="20"/>
        </w:rPr>
        <w:t>Alt-1: Support X = 10 (10-bit bitmap to indicate all possible interlace combinations)</w:t>
      </w:r>
    </w:p>
    <w:p>
      <w:pPr>
        <w:pStyle w:val="16"/>
        <w:numPr>
          <w:ilvl w:val="1"/>
          <w:numId w:val="12"/>
        </w:numPr>
        <w:overflowPunct w:val="0"/>
        <w:autoSpaceDE w:val="0"/>
        <w:autoSpaceDN w:val="0"/>
        <w:adjustRightInd w:val="0"/>
        <w:spacing w:after="0" w:line="259" w:lineRule="auto"/>
        <w:jc w:val="both"/>
        <w:textAlignment w:val="baseline"/>
        <w:rPr>
          <w:i/>
          <w:iCs/>
          <w:sz w:val="20"/>
        </w:rPr>
      </w:pPr>
      <w:r>
        <w:rPr>
          <w:i/>
          <w:iCs/>
          <w:sz w:val="20"/>
        </w:rPr>
        <w:t>Alt-2: Support X = 6 bits to indicate start interlace index and number of contiguous interlace indices (RIV) and using remaining up to 9 RIV values to indicate specific pre-defined interlace combinations</w:t>
      </w:r>
    </w:p>
    <w:p>
      <w:pPr>
        <w:spacing w:after="0"/>
        <w:rPr>
          <w:u w:val="single"/>
          <w:lang w:eastAsia="zh-CN"/>
        </w:rPr>
      </w:pPr>
      <w:r>
        <w:rPr>
          <w:u w:val="single"/>
          <w:lang w:eastAsia="zh-CN"/>
        </w:rPr>
        <w:t>Conclusion:</w:t>
      </w:r>
    </w:p>
    <w:p>
      <w:pPr>
        <w:pStyle w:val="16"/>
        <w:overflowPunct w:val="0"/>
        <w:autoSpaceDE w:val="0"/>
        <w:autoSpaceDN w:val="0"/>
        <w:adjustRightInd w:val="0"/>
        <w:spacing w:after="0" w:line="259" w:lineRule="auto"/>
        <w:textAlignment w:val="baseline"/>
        <w:rPr>
          <w:i/>
          <w:iCs/>
          <w:sz w:val="20"/>
        </w:rPr>
      </w:pPr>
      <w:r>
        <w:rPr>
          <w:i/>
          <w:iCs/>
          <w:sz w:val="20"/>
        </w:rPr>
        <w:t xml:space="preserve">For 10 MHz carrier bandwidth, enhancements to Rel-15 UL signals and channels are not necessary. </w:t>
      </w:r>
    </w:p>
    <w:p>
      <w:pPr>
        <w:spacing w:after="0"/>
        <w:rPr>
          <w:lang w:eastAsia="zh-CN"/>
        </w:rPr>
      </w:pPr>
      <w:r>
        <w:rPr>
          <w:highlight w:val="green"/>
          <w:lang w:eastAsia="zh-CN"/>
        </w:rPr>
        <w:t>Agreement:</w:t>
      </w:r>
    </w:p>
    <w:p>
      <w:pPr>
        <w:pStyle w:val="16"/>
        <w:overflowPunct w:val="0"/>
        <w:autoSpaceDE w:val="0"/>
        <w:autoSpaceDN w:val="0"/>
        <w:adjustRightInd w:val="0"/>
        <w:spacing w:after="0" w:line="259" w:lineRule="auto"/>
        <w:textAlignment w:val="baseline"/>
        <w:rPr>
          <w:i/>
          <w:iCs/>
          <w:sz w:val="20"/>
        </w:rPr>
      </w:pPr>
      <w:r>
        <w:rPr>
          <w:i/>
          <w:iCs/>
          <w:sz w:val="20"/>
        </w:rPr>
        <w:t>A PUCCH resource configured with interleaved mapping occupies consecutive PRBs within at least one interlace within a BWP. The PUCCH resource configuration includes the following:</w:t>
      </w:r>
    </w:p>
    <w:p>
      <w:pPr>
        <w:pStyle w:val="16"/>
        <w:numPr>
          <w:ilvl w:val="0"/>
          <w:numId w:val="12"/>
        </w:numPr>
        <w:overflowPunct w:val="0"/>
        <w:autoSpaceDE w:val="0"/>
        <w:autoSpaceDN w:val="0"/>
        <w:adjustRightInd w:val="0"/>
        <w:spacing w:after="0" w:line="259" w:lineRule="auto"/>
        <w:jc w:val="both"/>
        <w:textAlignment w:val="baseline"/>
        <w:rPr>
          <w:i/>
          <w:iCs/>
          <w:sz w:val="20"/>
        </w:rPr>
      </w:pPr>
      <w:r>
        <w:rPr>
          <w:i/>
          <w:iCs/>
          <w:sz w:val="20"/>
        </w:rPr>
        <w:t>An indication of the allocated interlace</w:t>
      </w:r>
    </w:p>
    <w:p>
      <w:pPr>
        <w:pStyle w:val="16"/>
        <w:numPr>
          <w:ilvl w:val="0"/>
          <w:numId w:val="12"/>
        </w:numPr>
        <w:overflowPunct w:val="0"/>
        <w:autoSpaceDE w:val="0"/>
        <w:autoSpaceDN w:val="0"/>
        <w:adjustRightInd w:val="0"/>
        <w:spacing w:after="0" w:line="259" w:lineRule="auto"/>
        <w:jc w:val="both"/>
        <w:textAlignment w:val="baseline"/>
        <w:rPr>
          <w:i/>
          <w:iCs/>
          <w:sz w:val="20"/>
        </w:rPr>
      </w:pPr>
      <w:r>
        <w:rPr>
          <w:i/>
          <w:iCs/>
          <w:sz w:val="20"/>
        </w:rPr>
        <w:t>An indication of the location of the PUCCH resource within the allocated interlace</w:t>
      </w:r>
    </w:p>
    <w:p>
      <w:pPr>
        <w:pStyle w:val="16"/>
        <w:numPr>
          <w:ilvl w:val="1"/>
          <w:numId w:val="12"/>
        </w:numPr>
        <w:overflowPunct w:val="0"/>
        <w:autoSpaceDE w:val="0"/>
        <w:autoSpaceDN w:val="0"/>
        <w:adjustRightInd w:val="0"/>
        <w:spacing w:after="0" w:line="259" w:lineRule="auto"/>
        <w:jc w:val="both"/>
        <w:textAlignment w:val="baseline"/>
        <w:rPr>
          <w:i/>
          <w:iCs/>
          <w:sz w:val="20"/>
        </w:rPr>
      </w:pPr>
      <w:r>
        <w:rPr>
          <w:i/>
          <w:iCs/>
          <w:sz w:val="20"/>
        </w:rPr>
        <w:t>Note: This may not be needed for a bandwidth part of 20 MHz or less</w:t>
      </w:r>
    </w:p>
    <w:p>
      <w:pPr>
        <w:pStyle w:val="16"/>
        <w:numPr>
          <w:ilvl w:val="0"/>
          <w:numId w:val="12"/>
        </w:numPr>
        <w:overflowPunct w:val="0"/>
        <w:autoSpaceDE w:val="0"/>
        <w:autoSpaceDN w:val="0"/>
        <w:adjustRightInd w:val="0"/>
        <w:spacing w:after="0" w:line="259" w:lineRule="auto"/>
        <w:jc w:val="both"/>
        <w:textAlignment w:val="baseline"/>
        <w:rPr>
          <w:i/>
          <w:iCs/>
          <w:sz w:val="20"/>
        </w:rPr>
      </w:pPr>
      <w:r>
        <w:rPr>
          <w:i/>
          <w:iCs/>
          <w:sz w:val="20"/>
        </w:rPr>
        <w:t>The number of PRBs N</w:t>
      </w:r>
      <w:r>
        <w:rPr>
          <w:i/>
          <w:iCs/>
          <w:sz w:val="20"/>
          <w:vertAlign w:val="subscript"/>
        </w:rPr>
        <w:t>PUCCH</w:t>
      </w:r>
      <w:r>
        <w:rPr>
          <w:i/>
          <w:iCs/>
          <w:sz w:val="20"/>
        </w:rPr>
        <w:t xml:space="preserve"> within the allocated interlace given by the following:</w:t>
      </w:r>
    </w:p>
    <w:p>
      <w:pPr>
        <w:pStyle w:val="16"/>
        <w:numPr>
          <w:ilvl w:val="1"/>
          <w:numId w:val="12"/>
        </w:numPr>
        <w:overflowPunct w:val="0"/>
        <w:autoSpaceDE w:val="0"/>
        <w:autoSpaceDN w:val="0"/>
        <w:adjustRightInd w:val="0"/>
        <w:spacing w:after="0" w:line="259" w:lineRule="auto"/>
        <w:jc w:val="both"/>
        <w:textAlignment w:val="baseline"/>
        <w:rPr>
          <w:i/>
          <w:iCs/>
          <w:sz w:val="20"/>
        </w:rPr>
      </w:pPr>
      <w:r>
        <w:rPr>
          <w:i/>
          <w:iCs/>
          <w:sz w:val="20"/>
        </w:rPr>
        <w:t>For Interlaced PF0/1/2:</w:t>
      </w:r>
    </w:p>
    <w:p>
      <w:pPr>
        <w:pStyle w:val="16"/>
        <w:numPr>
          <w:ilvl w:val="2"/>
          <w:numId w:val="12"/>
        </w:numPr>
        <w:overflowPunct w:val="0"/>
        <w:autoSpaceDE w:val="0"/>
        <w:autoSpaceDN w:val="0"/>
        <w:adjustRightInd w:val="0"/>
        <w:spacing w:after="0" w:line="259" w:lineRule="auto"/>
        <w:jc w:val="both"/>
        <w:textAlignment w:val="baseline"/>
        <w:rPr>
          <w:i/>
          <w:iCs/>
          <w:sz w:val="20"/>
        </w:rPr>
      </w:pPr>
      <w:r>
        <w:rPr>
          <w:i/>
          <w:iCs/>
          <w:sz w:val="20"/>
        </w:rPr>
        <w:t>N</w:t>
      </w:r>
      <w:r>
        <w:rPr>
          <w:i/>
          <w:iCs/>
          <w:sz w:val="20"/>
          <w:vertAlign w:val="subscript"/>
        </w:rPr>
        <w:t>PUCCH</w:t>
      </w:r>
      <w:r>
        <w:rPr>
          <w:i/>
          <w:iCs/>
          <w:sz w:val="20"/>
        </w:rPr>
        <w:t xml:space="preserve"> = 10 or 11 depending on the allocated interlace</w:t>
      </w:r>
    </w:p>
    <w:p>
      <w:pPr>
        <w:pStyle w:val="16"/>
        <w:numPr>
          <w:ilvl w:val="1"/>
          <w:numId w:val="12"/>
        </w:numPr>
        <w:overflowPunct w:val="0"/>
        <w:autoSpaceDE w:val="0"/>
        <w:autoSpaceDN w:val="0"/>
        <w:adjustRightInd w:val="0"/>
        <w:spacing w:after="0" w:line="259" w:lineRule="auto"/>
        <w:jc w:val="both"/>
        <w:textAlignment w:val="baseline"/>
        <w:rPr>
          <w:i/>
          <w:iCs/>
          <w:sz w:val="20"/>
        </w:rPr>
      </w:pPr>
      <w:r>
        <w:rPr>
          <w:i/>
          <w:iCs/>
          <w:sz w:val="20"/>
        </w:rPr>
        <w:t>For Interlaced PF3:</w:t>
      </w:r>
    </w:p>
    <w:p>
      <w:pPr>
        <w:pStyle w:val="16"/>
        <w:numPr>
          <w:ilvl w:val="2"/>
          <w:numId w:val="12"/>
        </w:numPr>
        <w:overflowPunct w:val="0"/>
        <w:autoSpaceDE w:val="0"/>
        <w:autoSpaceDN w:val="0"/>
        <w:adjustRightInd w:val="0"/>
        <w:spacing w:after="0" w:line="259" w:lineRule="auto"/>
        <w:jc w:val="both"/>
        <w:textAlignment w:val="baseline"/>
        <w:rPr>
          <w:i/>
          <w:iCs/>
          <w:sz w:val="20"/>
        </w:rPr>
      </w:pPr>
      <w:r>
        <w:rPr>
          <w:i/>
          <w:iCs/>
          <w:sz w:val="20"/>
        </w:rPr>
        <w:t>N</w:t>
      </w:r>
      <w:r>
        <w:rPr>
          <w:i/>
          <w:iCs/>
          <w:sz w:val="20"/>
          <w:vertAlign w:val="subscript"/>
        </w:rPr>
        <w:t>PUCCH</w:t>
      </w:r>
      <w:r>
        <w:rPr>
          <w:i/>
          <w:iCs/>
          <w:sz w:val="20"/>
        </w:rPr>
        <w:t xml:space="preserve"> = 10</w:t>
      </w:r>
    </w:p>
    <w:p>
      <w:pPr>
        <w:pStyle w:val="16"/>
        <w:numPr>
          <w:ilvl w:val="0"/>
          <w:numId w:val="12"/>
        </w:numPr>
        <w:overflowPunct w:val="0"/>
        <w:autoSpaceDE w:val="0"/>
        <w:autoSpaceDN w:val="0"/>
        <w:adjustRightInd w:val="0"/>
        <w:spacing w:after="0" w:line="259" w:lineRule="auto"/>
        <w:jc w:val="both"/>
        <w:textAlignment w:val="baseline"/>
        <w:rPr>
          <w:i/>
          <w:iCs/>
          <w:sz w:val="20"/>
        </w:rPr>
      </w:pPr>
      <w:r>
        <w:rPr>
          <w:i/>
          <w:iCs/>
          <w:sz w:val="20"/>
        </w:rPr>
        <w:t>FFS: Whether/how an interlaced PF2/3 resource can be configured on 2 interlaces to increase the number of allocated PRBs to 20, 21, or 22 depending on the allocated interlaces</w:t>
      </w:r>
    </w:p>
    <w:p>
      <w:pPr>
        <w:pStyle w:val="16"/>
        <w:numPr>
          <w:ilvl w:val="0"/>
          <w:numId w:val="12"/>
        </w:numPr>
        <w:overflowPunct w:val="0"/>
        <w:autoSpaceDE w:val="0"/>
        <w:autoSpaceDN w:val="0"/>
        <w:adjustRightInd w:val="0"/>
        <w:spacing w:after="0" w:line="259" w:lineRule="auto"/>
        <w:jc w:val="both"/>
        <w:textAlignment w:val="baseline"/>
        <w:rPr>
          <w:i/>
          <w:iCs/>
          <w:sz w:val="20"/>
        </w:rPr>
      </w:pPr>
      <w:r>
        <w:rPr>
          <w:i/>
          <w:iCs/>
          <w:sz w:val="20"/>
        </w:rPr>
        <w:t>FFS: Whether or not the BWP can be configured such that N</w:t>
      </w:r>
      <w:r>
        <w:rPr>
          <w:i/>
          <w:iCs/>
          <w:sz w:val="20"/>
          <w:vertAlign w:val="subscript"/>
        </w:rPr>
        <w:t>PUCCH</w:t>
      </w:r>
      <w:r>
        <w:rPr>
          <w:i/>
          <w:iCs/>
          <w:sz w:val="20"/>
        </w:rPr>
        <w:t xml:space="preserve"> is less than 10 or 11</w:t>
      </w:r>
    </w:p>
    <w:p>
      <w:pPr>
        <w:pStyle w:val="16"/>
        <w:numPr>
          <w:ilvl w:val="0"/>
          <w:numId w:val="12"/>
        </w:numPr>
        <w:overflowPunct w:val="0"/>
        <w:autoSpaceDE w:val="0"/>
        <w:autoSpaceDN w:val="0"/>
        <w:adjustRightInd w:val="0"/>
        <w:spacing w:after="0" w:line="259" w:lineRule="auto"/>
        <w:jc w:val="both"/>
        <w:textAlignment w:val="baseline"/>
        <w:rPr>
          <w:i/>
          <w:iCs/>
          <w:sz w:val="20"/>
        </w:rPr>
      </w:pPr>
      <w:r>
        <w:rPr>
          <w:i/>
          <w:iCs/>
          <w:sz w:val="20"/>
        </w:rPr>
        <w:t>FFS: Potential impact due to in-carrier guard bands</w:t>
      </w:r>
    </w:p>
    <w:p>
      <w:pPr>
        <w:pStyle w:val="16"/>
        <w:numPr>
          <w:ilvl w:val="0"/>
          <w:numId w:val="12"/>
        </w:numPr>
        <w:overflowPunct w:val="0"/>
        <w:autoSpaceDE w:val="0"/>
        <w:autoSpaceDN w:val="0"/>
        <w:adjustRightInd w:val="0"/>
        <w:spacing w:after="0" w:line="259" w:lineRule="auto"/>
        <w:jc w:val="both"/>
        <w:textAlignment w:val="baseline"/>
        <w:rPr>
          <w:i/>
          <w:iCs/>
          <w:sz w:val="20"/>
        </w:rPr>
      </w:pPr>
      <w:r>
        <w:rPr>
          <w:i/>
          <w:iCs/>
          <w:sz w:val="20"/>
        </w:rPr>
        <w:t>Note: The UE is not expected to be configured with PUCCH transmissions spanning multiple LBT bandwidths</w:t>
      </w:r>
    </w:p>
    <w:p>
      <w:pPr>
        <w:widowControl w:val="0"/>
        <w:autoSpaceDE w:val="0"/>
        <w:autoSpaceDN w:val="0"/>
        <w:adjustRightInd w:val="0"/>
        <w:spacing w:before="180"/>
        <w:jc w:val="both"/>
        <w:rPr>
          <w:rFonts w:eastAsia="宋体"/>
          <w:lang w:val="en-US" w:eastAsia="zh-CN"/>
        </w:rPr>
      </w:pPr>
      <w:r>
        <w:rPr>
          <w:rFonts w:eastAsia="宋体"/>
          <w:lang w:val="en-US" w:eastAsia="zh-CN"/>
        </w:rPr>
        <w:t xml:space="preserve">In this contribution, </w:t>
      </w:r>
      <w:r>
        <w:rPr>
          <w:rFonts w:hint="eastAsia" w:eastAsia="宋体"/>
          <w:lang w:val="en-US" w:eastAsia="zh-CN"/>
        </w:rPr>
        <w:t>we discuss the remaining open issues of UL channel and UL signals.</w:t>
      </w:r>
    </w:p>
    <w:p>
      <w:pPr>
        <w:pStyle w:val="2"/>
        <w:jc w:val="both"/>
        <w:rPr>
          <w:rFonts w:eastAsia="宋体" w:cs="Arial"/>
          <w:b/>
          <w:sz w:val="28"/>
          <w:szCs w:val="28"/>
          <w:lang w:eastAsia="zh-CN"/>
        </w:rPr>
      </w:pPr>
      <w:r>
        <w:rPr>
          <w:rFonts w:eastAsia="宋体" w:cs="Arial"/>
          <w:b/>
          <w:sz w:val="28"/>
          <w:szCs w:val="28"/>
          <w:lang w:val="en-US" w:eastAsia="zh-CN"/>
        </w:rPr>
        <w:t xml:space="preserve"> Potential UL physical channels and reference signals design</w:t>
      </w:r>
    </w:p>
    <w:p>
      <w:pPr>
        <w:pStyle w:val="3"/>
        <w:jc w:val="both"/>
        <w:rPr>
          <w:rFonts w:eastAsia="宋体" w:cs="Arial"/>
          <w:b/>
          <w:sz w:val="24"/>
          <w:szCs w:val="24"/>
          <w:lang w:val="en-US" w:eastAsia="zh-CN"/>
        </w:rPr>
      </w:pPr>
      <w:bookmarkStart w:id="5" w:name="_Toc535588807"/>
      <w:r>
        <w:rPr>
          <w:rFonts w:eastAsia="宋体" w:cs="Arial"/>
          <w:b/>
          <w:sz w:val="24"/>
          <w:szCs w:val="24"/>
          <w:lang w:val="en-US" w:eastAsia="zh-CN"/>
        </w:rPr>
        <w:t>UL Interlace Design</w:t>
      </w:r>
      <w:bookmarkEnd w:id="5"/>
    </w:p>
    <w:p>
      <w:pPr>
        <w:pStyle w:val="4"/>
        <w:tabs>
          <w:tab w:val="left" w:pos="450"/>
        </w:tabs>
        <w:spacing w:before="200" w:after="180" w:line="260" w:lineRule="auto"/>
        <w:ind w:left="567" w:hanging="567"/>
        <w:rPr>
          <w:rFonts w:cs="Times New Roman"/>
          <w:b/>
          <w:iCs w:val="0"/>
          <w:color w:val="000000"/>
          <w:sz w:val="21"/>
          <w:szCs w:val="21"/>
          <w:lang w:val="en-US" w:eastAsia="zh-CN"/>
        </w:rPr>
      </w:pPr>
      <w:bookmarkStart w:id="6" w:name="_Toc1970555"/>
      <w:r>
        <w:rPr>
          <w:rFonts w:hint="eastAsia" w:cs="Times New Roman"/>
          <w:b/>
          <w:iCs w:val="0"/>
          <w:color w:val="000000"/>
          <w:sz w:val="21"/>
          <w:szCs w:val="21"/>
          <w:lang w:val="en-US" w:eastAsia="zh-CN"/>
        </w:rPr>
        <w:t xml:space="preserve"> </w:t>
      </w:r>
      <w:r>
        <w:rPr>
          <w:rFonts w:cs="Times New Roman"/>
          <w:b/>
          <w:iCs w:val="0"/>
          <w:color w:val="000000"/>
          <w:sz w:val="21"/>
          <w:szCs w:val="21"/>
          <w:lang w:val="en-US" w:eastAsia="zh-CN"/>
        </w:rPr>
        <w:t>PRB interlace design for 60 kHz</w:t>
      </w:r>
      <w:bookmarkEnd w:id="6"/>
      <w:r>
        <w:rPr>
          <w:rFonts w:cs="Times New Roman"/>
          <w:b/>
          <w:iCs w:val="0"/>
          <w:color w:val="000000"/>
          <w:sz w:val="21"/>
          <w:szCs w:val="21"/>
          <w:lang w:val="en-US" w:eastAsia="zh-CN"/>
        </w:rPr>
        <w:t xml:space="preserve"> </w:t>
      </w:r>
      <w:r>
        <w:rPr>
          <w:rFonts w:hint="eastAsia" w:cs="Times New Roman"/>
          <w:b/>
          <w:iCs w:val="0"/>
          <w:color w:val="000000"/>
          <w:sz w:val="21"/>
          <w:szCs w:val="21"/>
          <w:lang w:val="en-US" w:eastAsia="zh-CN"/>
        </w:rPr>
        <w:t xml:space="preserve">SCS </w:t>
      </w:r>
      <w:r>
        <w:rPr>
          <w:rFonts w:cs="Times New Roman"/>
          <w:b/>
          <w:iCs w:val="0"/>
          <w:color w:val="000000"/>
          <w:sz w:val="21"/>
          <w:szCs w:val="21"/>
          <w:lang w:val="en-US" w:eastAsia="zh-CN"/>
        </w:rPr>
        <w:t>in 20 MHz</w:t>
      </w:r>
    </w:p>
    <w:p>
      <w:pPr>
        <w:tabs>
          <w:tab w:val="center" w:pos="4702"/>
        </w:tabs>
        <w:jc w:val="both"/>
        <w:rPr>
          <w:rFonts w:eastAsia="宋体"/>
          <w:lang w:val="en-US" w:eastAsia="zh-CN"/>
        </w:rPr>
      </w:pPr>
      <w:r>
        <w:rPr>
          <w:rFonts w:hint="eastAsia" w:eastAsia="宋体"/>
          <w:lang w:val="en-US" w:eastAsia="zh-CN"/>
        </w:rPr>
        <w:t xml:space="preserve">In the previous meeting, </w:t>
      </w:r>
      <w:r>
        <w:rPr>
          <w:rFonts w:eastAsia="宋体"/>
          <w:lang w:val="en-US" w:eastAsia="zh-CN"/>
        </w:rPr>
        <w:t xml:space="preserve">some </w:t>
      </w:r>
      <w:r>
        <w:t xml:space="preserve">companies have proposed an interlace design of PUSCH and PUCCH for the case of 60 kHz SCS. </w:t>
      </w:r>
      <w:r>
        <w:rPr>
          <w:rFonts w:hint="eastAsia" w:eastAsia="宋体"/>
          <w:lang w:val="en-US" w:eastAsia="zh-CN"/>
        </w:rPr>
        <w:t>E</w:t>
      </w:r>
      <w:r>
        <w:rPr>
          <w:rFonts w:eastAsia="宋体"/>
          <w:lang w:val="en-US" w:eastAsia="zh-CN"/>
        </w:rPr>
        <w:t>ither M = 3, N = 8 or M = 2, N = 12</w:t>
      </w:r>
      <w:r>
        <w:rPr>
          <w:rFonts w:hint="eastAsia" w:eastAsia="宋体"/>
          <w:lang w:val="en-US" w:eastAsia="zh-CN"/>
        </w:rPr>
        <w:t xml:space="preserve"> was given. </w:t>
      </w:r>
      <w:r>
        <w:rPr>
          <w:rFonts w:hint="eastAsia" w:eastAsia="宋体" w:cs="Arial"/>
          <w:lang w:val="en-US" w:eastAsia="zh-CN"/>
        </w:rPr>
        <w:t xml:space="preserve">However, in the </w:t>
      </w:r>
      <w:r>
        <w:rPr>
          <w:rFonts w:eastAsia="宋体" w:cs="Arial"/>
          <w:lang w:val="en-US" w:eastAsia="zh-CN"/>
        </w:rPr>
        <w:t>case</w:t>
      </w:r>
      <w:r>
        <w:rPr>
          <w:rFonts w:hint="eastAsia" w:eastAsia="宋体" w:cs="Arial"/>
          <w:lang w:val="en-US" w:eastAsia="zh-CN"/>
        </w:rPr>
        <w:t xml:space="preserve"> of </w:t>
      </w:r>
      <w:r>
        <w:rPr>
          <w:rFonts w:eastAsia="宋体"/>
          <w:lang w:val="en-US" w:eastAsia="zh-CN"/>
        </w:rPr>
        <w:t>M = 3, N = 8</w:t>
      </w:r>
      <w:r>
        <w:rPr>
          <w:rFonts w:hint="eastAsia" w:eastAsia="宋体"/>
          <w:lang w:val="en-US" w:eastAsia="zh-CN"/>
        </w:rPr>
        <w:t xml:space="preserve">, the </w:t>
      </w:r>
      <w:r>
        <w:rPr>
          <w:lang w:val="en-US" w:eastAsia="zh-CN"/>
        </w:rPr>
        <w:t>percentage</w:t>
      </w:r>
      <w:r>
        <w:rPr>
          <w:lang w:eastAsia="zh-CN"/>
        </w:rPr>
        <w:t xml:space="preserve"> of occupied channel bandwidth per interlace over declared channel bandwidth</w:t>
      </w:r>
      <w:r>
        <w:rPr>
          <w:rFonts w:hint="eastAsia"/>
          <w:lang w:val="en-US" w:eastAsia="zh-CN"/>
        </w:rPr>
        <w:t xml:space="preserve"> is 79.2% </w:t>
      </w:r>
      <w:r>
        <w:rPr>
          <w:lang w:val="en-US" w:eastAsia="zh-CN"/>
        </w:rPr>
        <w:t xml:space="preserve">which is </w:t>
      </w:r>
      <w:r>
        <w:rPr>
          <w:rFonts w:hint="eastAsia"/>
          <w:lang w:val="en-US" w:eastAsia="zh-CN"/>
        </w:rPr>
        <w:t xml:space="preserve">less than </w:t>
      </w:r>
      <w:r>
        <w:rPr>
          <w:lang w:val="en-US" w:eastAsia="zh-CN"/>
        </w:rPr>
        <w:t>the</w:t>
      </w:r>
      <w:r>
        <w:rPr>
          <w:rFonts w:hint="eastAsia"/>
          <w:lang w:val="en-US" w:eastAsia="zh-CN"/>
        </w:rPr>
        <w:t xml:space="preserve"> 80% OCB requirement. For </w:t>
      </w:r>
      <w:r>
        <w:rPr>
          <w:rFonts w:eastAsia="宋体"/>
          <w:lang w:val="en-US" w:eastAsia="zh-CN"/>
        </w:rPr>
        <w:t xml:space="preserve"> M = 2, N = 12</w:t>
      </w:r>
      <w:r>
        <w:rPr>
          <w:rFonts w:hint="eastAsia" w:eastAsia="宋体"/>
          <w:lang w:val="en-US" w:eastAsia="zh-CN"/>
        </w:rPr>
        <w:t xml:space="preserve">, only two UEs can be multiplexed in a 20MHz </w:t>
      </w:r>
      <w:r>
        <w:rPr>
          <w:rFonts w:eastAsia="宋体"/>
          <w:lang w:val="en-US" w:eastAsia="zh-CN"/>
        </w:rPr>
        <w:t>via</w:t>
      </w:r>
      <w:r>
        <w:rPr>
          <w:rFonts w:hint="eastAsia" w:eastAsia="宋体"/>
          <w:lang w:val="en-US" w:eastAsia="zh-CN"/>
        </w:rPr>
        <w:t xml:space="preserve"> FDM and the </w:t>
      </w:r>
      <w:r>
        <w:rPr>
          <w:rFonts w:eastAsia="宋体"/>
          <w:lang w:val="en-US" w:eastAsia="zh-CN"/>
        </w:rPr>
        <w:t xml:space="preserve">layout </w:t>
      </w:r>
      <w:r>
        <w:rPr>
          <w:rFonts w:hint="eastAsia" w:eastAsia="宋体"/>
          <w:lang w:val="en-US" w:eastAsia="zh-CN"/>
        </w:rPr>
        <w:t xml:space="preserve">looks </w:t>
      </w:r>
      <w:r>
        <w:rPr>
          <w:rFonts w:eastAsia="宋体"/>
          <w:lang w:val="en-US" w:eastAsia="zh-CN"/>
        </w:rPr>
        <w:t>awkward</w:t>
      </w:r>
      <w:r>
        <w:rPr>
          <w:rFonts w:hint="eastAsia" w:eastAsia="宋体"/>
          <w:lang w:val="en-US" w:eastAsia="zh-CN"/>
        </w:rPr>
        <w:t xml:space="preserve"> as show</w:t>
      </w:r>
      <w:r>
        <w:rPr>
          <w:rFonts w:eastAsia="宋体"/>
          <w:lang w:val="en-US" w:eastAsia="zh-CN"/>
        </w:rPr>
        <w:t>n</w:t>
      </w:r>
      <w:r>
        <w:rPr>
          <w:rFonts w:hint="eastAsia" w:eastAsia="宋体"/>
          <w:lang w:val="en-US" w:eastAsia="zh-CN"/>
        </w:rPr>
        <w:t xml:space="preserve"> in </w:t>
      </w:r>
      <w:r>
        <w:rPr>
          <w:rFonts w:eastAsia="宋体"/>
          <w:lang w:val="en-US" w:eastAsia="zh-CN"/>
        </w:rPr>
        <w:t>F</w:t>
      </w:r>
      <w:r>
        <w:rPr>
          <w:rFonts w:hint="eastAsia" w:eastAsia="宋体"/>
          <w:lang w:val="en-US" w:eastAsia="zh-CN"/>
        </w:rPr>
        <w:t>igure 1.</w:t>
      </w:r>
    </w:p>
    <w:p>
      <w:pPr>
        <w:tabs>
          <w:tab w:val="center" w:pos="4702"/>
        </w:tabs>
        <w:jc w:val="both"/>
        <w:rPr>
          <w:rFonts w:eastAsia="宋体"/>
          <w:lang w:val="en-US" w:eastAsia="zh-CN"/>
        </w:rPr>
      </w:pPr>
      <w:r>
        <w:object>
          <v:shape id="_x0000_i1025" o:spt="75" type="#_x0000_t75" style="height:219.5pt;width:399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r:id="rId4">
            <o:LockedField>false</o:LockedField>
          </o:OLEObject>
        </w:object>
      </w:r>
    </w:p>
    <w:p>
      <w:pPr>
        <w:tabs>
          <w:tab w:val="center" w:pos="4702"/>
        </w:tabs>
        <w:jc w:val="center"/>
        <w:rPr>
          <w:rFonts w:eastAsia="宋体"/>
          <w:bCs/>
          <w:lang w:val="en-US" w:eastAsia="zh-CN"/>
        </w:rPr>
      </w:pPr>
      <w:r>
        <w:rPr>
          <w:rFonts w:hint="eastAsia" w:eastAsia="宋体"/>
          <w:bCs/>
          <w:lang w:val="en-US" w:eastAsia="zh-CN"/>
        </w:rPr>
        <w:t xml:space="preserve">Figure 1 </w:t>
      </w:r>
      <w:r>
        <w:rPr>
          <w:rFonts w:eastAsia="宋体"/>
          <w:bCs/>
          <w:lang w:val="en-US" w:eastAsia="zh-CN"/>
        </w:rPr>
        <w:t>M = 2, N = 12</w:t>
      </w:r>
      <w:r>
        <w:rPr>
          <w:rFonts w:hint="eastAsia" w:eastAsia="宋体"/>
          <w:bCs/>
          <w:lang w:val="en-US" w:eastAsia="zh-CN"/>
        </w:rPr>
        <w:t xml:space="preserve"> for 60</w:t>
      </w:r>
      <w:r>
        <w:rPr>
          <w:rFonts w:eastAsia="宋体"/>
          <w:bCs/>
          <w:lang w:val="en-US" w:eastAsia="zh-CN"/>
        </w:rPr>
        <w:t xml:space="preserve"> </w:t>
      </w:r>
      <w:r>
        <w:rPr>
          <w:rFonts w:hint="eastAsia" w:eastAsia="宋体"/>
          <w:bCs/>
          <w:lang w:val="en-US" w:eastAsia="zh-CN"/>
        </w:rPr>
        <w:t>kHz SCS in a 20MHz</w:t>
      </w:r>
    </w:p>
    <w:p>
      <w:pPr>
        <w:tabs>
          <w:tab w:val="center" w:pos="4702"/>
        </w:tabs>
        <w:jc w:val="both"/>
        <w:rPr>
          <w:rFonts w:eastAsia="宋体"/>
          <w:lang w:val="en-US" w:eastAsia="zh-CN"/>
        </w:rPr>
      </w:pPr>
      <w:r>
        <w:rPr>
          <w:rFonts w:hint="eastAsia" w:eastAsia="宋体" w:cs="Arial"/>
          <w:lang w:val="en-US" w:eastAsia="zh-CN"/>
        </w:rPr>
        <w:t>Besides, i</w:t>
      </w:r>
      <w:r>
        <w:rPr>
          <w:rFonts w:cs="Arial"/>
        </w:rPr>
        <w:t>n our view,</w:t>
      </w:r>
      <w:r>
        <w:rPr>
          <w:rFonts w:hint="eastAsia" w:eastAsia="宋体" w:cs="Arial"/>
          <w:lang w:val="en-US" w:eastAsia="zh-CN"/>
        </w:rPr>
        <w:t xml:space="preserve"> </w:t>
      </w:r>
      <w:r>
        <w:rPr>
          <w:rFonts w:cs="Arial"/>
        </w:rPr>
        <w:t xml:space="preserve">the benefits of 60 kHz SCS </w:t>
      </w:r>
      <w:r>
        <w:rPr>
          <w:rFonts w:hint="eastAsia" w:eastAsia="宋体" w:cs="Arial"/>
          <w:lang w:val="en-US" w:eastAsia="zh-CN"/>
        </w:rPr>
        <w:t>PRB interlace</w:t>
      </w:r>
      <w:r>
        <w:rPr>
          <w:rFonts w:cs="Arial"/>
        </w:rPr>
        <w:t xml:space="preserve"> are not clear,</w:t>
      </w:r>
      <w:r>
        <w:rPr>
          <w:rFonts w:hint="eastAsia" w:eastAsia="宋体" w:cs="Arial"/>
          <w:lang w:val="en-US" w:eastAsia="zh-CN"/>
        </w:rPr>
        <w:t xml:space="preserve"> </w:t>
      </w:r>
      <w:r>
        <w:rPr>
          <w:rFonts w:eastAsia="宋体" w:cs="Arial"/>
          <w:lang w:val="en-US" w:eastAsia="zh-CN"/>
        </w:rPr>
        <w:t>yet with several shortcomings such</w:t>
      </w:r>
      <w:r>
        <w:rPr>
          <w:rFonts w:hint="eastAsia" w:eastAsia="宋体" w:cs="Arial"/>
          <w:lang w:val="en-US" w:eastAsia="zh-CN"/>
        </w:rPr>
        <w:t xml:space="preserve"> as </w:t>
      </w:r>
      <w:r>
        <w:rPr>
          <w:rFonts w:eastAsia="宋体"/>
          <w:kern w:val="2"/>
          <w:lang w:val="en-US" w:eastAsia="zh-CN"/>
        </w:rPr>
        <w:t>scheduling restriction, etc.</w:t>
      </w:r>
      <w:r>
        <w:rPr>
          <w:rFonts w:hint="eastAsia" w:eastAsia="宋体"/>
          <w:kern w:val="2"/>
          <w:lang w:val="en-US" w:eastAsia="zh-CN"/>
        </w:rPr>
        <w:t xml:space="preserve"> </w:t>
      </w:r>
      <w:r>
        <w:rPr>
          <w:rFonts w:eastAsia="宋体"/>
          <w:kern w:val="2"/>
          <w:lang w:val="en-US" w:eastAsia="zh-CN"/>
        </w:rPr>
        <w:t>In this sense, the</w:t>
      </w:r>
      <w:r>
        <w:t xml:space="preserve"> contiguous allocation</w:t>
      </w:r>
      <w:r>
        <w:rPr>
          <w:rFonts w:hint="eastAsia" w:eastAsia="宋体"/>
          <w:lang w:val="en-US" w:eastAsia="zh-CN"/>
        </w:rPr>
        <w:t xml:space="preserve"> as in R</w:t>
      </w:r>
      <w:r>
        <w:rPr>
          <w:rFonts w:eastAsia="宋体"/>
          <w:lang w:val="en-US" w:eastAsia="zh-CN"/>
        </w:rPr>
        <w:t>el-</w:t>
      </w:r>
      <w:r>
        <w:rPr>
          <w:rFonts w:hint="eastAsia" w:eastAsia="宋体"/>
          <w:lang w:val="en-US" w:eastAsia="zh-CN"/>
        </w:rPr>
        <w:t xml:space="preserve">15 </w:t>
      </w:r>
      <w:r>
        <w:t>would be sufficient.</w:t>
      </w:r>
    </w:p>
    <w:p>
      <w:pPr>
        <w:rPr>
          <w:rFonts w:hint="eastAsia" w:eastAsia="宋体"/>
          <w:i/>
          <w:iCs/>
          <w:lang w:val="en-US" w:eastAsia="zh-CN"/>
        </w:rPr>
      </w:pPr>
      <w:r>
        <w:rPr>
          <w:rFonts w:eastAsia="宋体"/>
          <w:b/>
          <w:lang w:eastAsia="zh-CN"/>
        </w:rPr>
        <w:t xml:space="preserve">Proposal </w:t>
      </w:r>
      <w:r>
        <w:rPr>
          <w:rFonts w:hint="eastAsia" w:eastAsia="宋体"/>
          <w:b/>
          <w:lang w:val="en-US" w:eastAsia="zh-CN"/>
        </w:rPr>
        <w:t>1</w:t>
      </w:r>
      <w:r>
        <w:rPr>
          <w:rFonts w:eastAsia="宋体"/>
          <w:b/>
          <w:lang w:eastAsia="zh-CN"/>
        </w:rPr>
        <w:t>:</w:t>
      </w:r>
      <w:r>
        <w:rPr>
          <w:rFonts w:hint="eastAsia" w:eastAsia="宋体"/>
          <w:b/>
          <w:lang w:val="en-US" w:eastAsia="zh-CN"/>
        </w:rPr>
        <w:t xml:space="preserve"> </w:t>
      </w:r>
      <w:r>
        <w:rPr>
          <w:i/>
          <w:iCs/>
        </w:rPr>
        <w:t xml:space="preserve">PRB block interlace design </w:t>
      </w:r>
      <w:r>
        <w:rPr>
          <w:rFonts w:hint="eastAsia" w:eastAsia="宋体"/>
          <w:i/>
          <w:iCs/>
          <w:lang w:val="en-US" w:eastAsia="zh-CN"/>
        </w:rPr>
        <w:t>for 60</w:t>
      </w:r>
      <w:r>
        <w:rPr>
          <w:rFonts w:eastAsia="宋体"/>
          <w:i/>
          <w:iCs/>
          <w:lang w:val="en-US" w:eastAsia="zh-CN"/>
        </w:rPr>
        <w:t xml:space="preserve"> </w:t>
      </w:r>
      <w:r>
        <w:rPr>
          <w:rFonts w:hint="eastAsia" w:eastAsia="宋体"/>
          <w:i/>
          <w:iCs/>
          <w:lang w:val="en-US" w:eastAsia="zh-CN"/>
        </w:rPr>
        <w:t xml:space="preserve">kHz is </w:t>
      </w:r>
      <w:r>
        <w:rPr>
          <w:i/>
          <w:iCs/>
        </w:rPr>
        <w:t>not supported for PUSCH and PUCCH</w:t>
      </w:r>
      <w:r>
        <w:rPr>
          <w:rFonts w:hint="eastAsia" w:eastAsia="宋体"/>
          <w:i/>
          <w:iCs/>
          <w:lang w:val="en-US" w:eastAsia="zh-CN"/>
        </w:rPr>
        <w:t xml:space="preserve">. </w:t>
      </w:r>
      <w:bookmarkStart w:id="7" w:name="_Toc1125961"/>
      <w:bookmarkStart w:id="8" w:name="_Toc534971761"/>
    </w:p>
    <w:p>
      <w:pPr>
        <w:pStyle w:val="4"/>
        <w:rPr>
          <w:b/>
          <w:bCs/>
          <w:lang w:val="en-US" w:eastAsia="zh-CN"/>
        </w:rPr>
      </w:pPr>
      <w:r>
        <w:rPr>
          <w:rFonts w:hint="eastAsia"/>
          <w:b/>
          <w:bCs/>
          <w:lang w:val="en-US" w:eastAsia="zh-CN"/>
        </w:rPr>
        <w:t xml:space="preserve"> Partial Interlace </w:t>
      </w:r>
    </w:p>
    <w:p>
      <w:pPr>
        <w:pStyle w:val="16"/>
        <w:jc w:val="both"/>
        <w:rPr>
          <w:rFonts w:eastAsia="宋体" w:cs="Arial"/>
          <w:lang w:val="en-US" w:eastAsia="zh-CN"/>
        </w:rPr>
      </w:pPr>
      <w:bookmarkStart w:id="9" w:name="_Ref3916263"/>
      <w:bookmarkStart w:id="10" w:name="_Ref3916256"/>
      <w:r>
        <w:rPr>
          <w:rFonts w:hint="eastAsia"/>
          <w:lang w:val="en-US" w:eastAsia="zh-CN"/>
        </w:rPr>
        <w:t>It has confirmed the WA that s</w:t>
      </w:r>
      <w:r>
        <w:rPr>
          <w:lang w:eastAsia="zh-CN"/>
        </w:rPr>
        <w:t>ame spacing (M) between consecutive PRBs in an interlace for all interlaces regardless of carrier BW</w:t>
      </w:r>
      <w:r>
        <w:rPr>
          <w:rFonts w:hint="eastAsia"/>
          <w:lang w:val="en-US" w:eastAsia="zh-CN"/>
        </w:rPr>
        <w:t xml:space="preserve">. </w:t>
      </w:r>
      <w:r>
        <w:rPr>
          <w:rFonts w:hint="eastAsia" w:eastAsia="宋体" w:cs="Arial"/>
          <w:lang w:val="en-US" w:eastAsia="zh-CN"/>
        </w:rPr>
        <w:t xml:space="preserve">When a UE is configured with wideband BWP, such as 40MHz or 80MHz, there is a situation that </w:t>
      </w:r>
      <w:r>
        <w:rPr>
          <w:rFonts w:eastAsia="宋体"/>
          <w:lang w:eastAsia="zh-CN"/>
        </w:rPr>
        <w:t xml:space="preserve">some sub-bands may not be available depending on LBT outcome, </w:t>
      </w:r>
      <w:r>
        <w:rPr>
          <w:rFonts w:hint="eastAsia" w:eastAsia="宋体"/>
          <w:lang w:val="en-US" w:eastAsia="zh-CN"/>
        </w:rPr>
        <w:t xml:space="preserve"> and </w:t>
      </w:r>
      <w:r>
        <w:rPr>
          <w:rFonts w:eastAsia="宋体"/>
          <w:lang w:eastAsia="zh-CN"/>
        </w:rPr>
        <w:t>the PRBs in non-available sub-bands for this interlace can’t be used for transmission.</w:t>
      </w:r>
      <w:r>
        <w:rPr>
          <w:rFonts w:hint="eastAsia" w:eastAsia="宋体"/>
          <w:lang w:val="en-US" w:eastAsia="zh-CN"/>
        </w:rPr>
        <w:t xml:space="preserve"> </w:t>
      </w:r>
      <w:r>
        <w:rPr>
          <w:rFonts w:hint="eastAsia" w:eastAsia="宋体" w:cs="Arial"/>
          <w:lang w:val="en-US" w:eastAsia="zh-CN"/>
        </w:rPr>
        <w:t xml:space="preserve">Besides, it may also happen that </w:t>
      </w:r>
      <w:r>
        <w:rPr>
          <w:lang w:eastAsia="zh-CN"/>
        </w:rPr>
        <w:t xml:space="preserve">gNB schedule PUSCH of different UEs in the same interlace on different LBT bandwidth. </w:t>
      </w:r>
      <w:r>
        <w:rPr>
          <w:rFonts w:hint="eastAsia"/>
          <w:lang w:val="en-US" w:eastAsia="zh-CN"/>
        </w:rPr>
        <w:t xml:space="preserve">We </w:t>
      </w:r>
      <w:r>
        <w:t xml:space="preserve">refer to </w:t>
      </w:r>
      <w:r>
        <w:rPr>
          <w:rFonts w:hint="eastAsia"/>
          <w:lang w:val="en-US" w:eastAsia="zh-CN"/>
        </w:rPr>
        <w:t xml:space="preserve">these cases as </w:t>
      </w:r>
      <w:r>
        <w:rPr>
          <w:lang w:eastAsia="zh-CN"/>
        </w:rPr>
        <w:t>partial interlace allocation</w:t>
      </w:r>
      <w:r>
        <w:rPr>
          <w:rFonts w:hint="eastAsia"/>
          <w:lang w:val="en-US" w:eastAsia="zh-CN"/>
        </w:rPr>
        <w:t xml:space="preserve"> </w:t>
      </w:r>
      <w:r>
        <w:rPr>
          <w:lang w:eastAsia="zh-CN"/>
        </w:rPr>
        <w:t>and transmission</w:t>
      </w:r>
      <w:r>
        <w:rPr>
          <w:rFonts w:hint="eastAsia"/>
          <w:lang w:val="en-US" w:eastAsia="zh-CN"/>
        </w:rPr>
        <w:t>. And we can see b</w:t>
      </w:r>
      <w:r>
        <w:rPr>
          <w:lang w:val="en-US"/>
        </w:rPr>
        <w:t xml:space="preserve">y assigning partial interlace in this way, the UE multiplexing capacity </w:t>
      </w:r>
      <w:r>
        <w:rPr>
          <w:rFonts w:hint="eastAsia" w:eastAsia="宋体"/>
          <w:lang w:val="en-US" w:eastAsia="zh-CN"/>
        </w:rPr>
        <w:t xml:space="preserve">by </w:t>
      </w:r>
      <w:r>
        <w:rPr>
          <w:lang w:val="en-US"/>
        </w:rPr>
        <w:t>FDM</w:t>
      </w:r>
      <w:r>
        <w:rPr>
          <w:rFonts w:hint="eastAsia" w:eastAsia="宋体"/>
          <w:lang w:val="en-US" w:eastAsia="zh-CN"/>
        </w:rPr>
        <w:t xml:space="preserve"> can be improved and i</w:t>
      </w:r>
      <w:r>
        <w:rPr>
          <w:lang w:eastAsia="zh-CN"/>
        </w:rPr>
        <w:t xml:space="preserve">t is </w:t>
      </w:r>
      <w:r>
        <w:rPr>
          <w:rFonts w:hint="eastAsia"/>
          <w:lang w:val="en-US" w:eastAsia="zh-CN"/>
        </w:rPr>
        <w:t>beneficial</w:t>
      </w:r>
      <w:r>
        <w:rPr>
          <w:lang w:eastAsia="zh-CN"/>
        </w:rPr>
        <w:t xml:space="preserve"> for </w:t>
      </w:r>
      <w:r>
        <w:rPr>
          <w:rFonts w:hint="eastAsia" w:eastAsia="宋体"/>
          <w:lang w:val="en-US" w:eastAsia="zh-CN"/>
        </w:rPr>
        <w:t xml:space="preserve">improving the spectrum efficiency. </w:t>
      </w:r>
      <w:r>
        <w:rPr>
          <w:lang w:eastAsia="zh-CN"/>
        </w:rPr>
        <w:t xml:space="preserve">Therefore, partial interlace allocation and transmission </w:t>
      </w:r>
      <w:r>
        <w:rPr>
          <w:rFonts w:hint="eastAsia"/>
          <w:lang w:val="en-US" w:eastAsia="zh-CN"/>
        </w:rPr>
        <w:t xml:space="preserve">based on </w:t>
      </w:r>
      <w:r>
        <w:rPr>
          <w:lang w:eastAsia="zh-CN"/>
        </w:rPr>
        <w:t xml:space="preserve"> </w:t>
      </w:r>
      <w:r>
        <w:rPr>
          <w:rFonts w:eastAsia="宋体"/>
          <w:lang w:eastAsia="zh-CN"/>
        </w:rPr>
        <w:t>sub-bands</w:t>
      </w:r>
      <w:r>
        <w:rPr>
          <w:rFonts w:hint="eastAsia" w:eastAsia="宋体"/>
          <w:lang w:val="en-US" w:eastAsia="zh-CN"/>
        </w:rPr>
        <w:t xml:space="preserve"> </w:t>
      </w:r>
      <w:r>
        <w:rPr>
          <w:rFonts w:hint="eastAsia"/>
          <w:lang w:val="en-US" w:eastAsia="zh-CN"/>
        </w:rPr>
        <w:t>can</w:t>
      </w:r>
      <w:r>
        <w:rPr>
          <w:lang w:eastAsia="zh-CN"/>
        </w:rPr>
        <w:t xml:space="preserve"> be supported. </w:t>
      </w:r>
    </w:p>
    <w:p>
      <w:pPr>
        <w:pStyle w:val="131"/>
        <w:ind w:left="0"/>
        <w:jc w:val="both"/>
        <w:rPr>
          <w:color w:val="auto"/>
        </w:rPr>
      </w:pPr>
      <w:r>
        <w:rPr>
          <w:rFonts w:hint="eastAsia" w:eastAsia="宋体"/>
          <w:lang w:val="en-US" w:eastAsia="zh-CN"/>
        </w:rPr>
        <w:t xml:space="preserve">In order to support </w:t>
      </w:r>
      <w:r>
        <w:rPr>
          <w:lang w:eastAsia="zh-CN"/>
        </w:rPr>
        <w:t>partial interlace allocation</w:t>
      </w:r>
      <w:r>
        <w:rPr>
          <w:color w:val="FF0000"/>
          <w:lang w:eastAsia="zh-CN"/>
        </w:rPr>
        <w:t xml:space="preserve"> </w:t>
      </w:r>
      <w:r>
        <w:rPr>
          <w:color w:val="auto"/>
          <w:lang w:eastAsia="zh-CN"/>
        </w:rPr>
        <w:t>for PUSCH</w:t>
      </w:r>
      <w:r>
        <w:rPr>
          <w:color w:val="FF0000"/>
          <w:lang w:eastAsia="zh-CN"/>
        </w:rPr>
        <w:t xml:space="preserve"> </w:t>
      </w:r>
      <w:r>
        <w:rPr>
          <w:lang w:eastAsia="zh-CN"/>
        </w:rPr>
        <w:t>transmission</w:t>
      </w:r>
      <w:r>
        <w:rPr>
          <w:rFonts w:hint="eastAsia"/>
          <w:color w:val="auto"/>
          <w:lang w:val="en-US" w:eastAsia="zh-CN"/>
        </w:rPr>
        <w:t>, gNB can indicate the</w:t>
      </w:r>
      <w:r>
        <w:rPr>
          <w:color w:val="auto"/>
          <w:lang w:eastAsia="zh-CN"/>
        </w:rPr>
        <w:t xml:space="preserve"> </w:t>
      </w:r>
      <w:r>
        <w:rPr>
          <w:rFonts w:hint="eastAsia"/>
          <w:color w:val="auto"/>
          <w:lang w:val="en-US" w:eastAsia="zh-CN"/>
        </w:rPr>
        <w:t>allocated</w:t>
      </w:r>
      <w:r>
        <w:rPr>
          <w:rFonts w:hint="eastAsia" w:eastAsia="宋体"/>
          <w:color w:val="auto"/>
          <w:lang w:val="en-US" w:eastAsia="zh-CN"/>
        </w:rPr>
        <w:t xml:space="preserve"> </w:t>
      </w:r>
      <w:r>
        <w:rPr>
          <w:rFonts w:hint="eastAsia" w:eastAsia="宋体"/>
          <w:lang w:val="en-US" w:eastAsia="zh-CN"/>
        </w:rPr>
        <w:t>i</w:t>
      </w:r>
      <w:r>
        <w:t>nterlace</w:t>
      </w:r>
      <w:r>
        <w:rPr>
          <w:rFonts w:hint="eastAsia" w:eastAsia="宋体"/>
          <w:lang w:val="en-US" w:eastAsia="zh-CN"/>
        </w:rPr>
        <w:t>(s) and sub</w:t>
      </w:r>
      <w:r>
        <w:rPr>
          <w:rFonts w:eastAsia="宋体"/>
          <w:lang w:val="en-US" w:eastAsia="zh-CN"/>
        </w:rPr>
        <w:t>-</w:t>
      </w:r>
      <w:r>
        <w:rPr>
          <w:rFonts w:hint="eastAsia" w:eastAsia="宋体"/>
          <w:lang w:val="en-US" w:eastAsia="zh-CN"/>
        </w:rPr>
        <w:t xml:space="preserve">band(s) in the </w:t>
      </w:r>
      <w:r>
        <w:rPr>
          <w:rFonts w:hint="eastAsia"/>
          <w:lang w:val="en-US" w:eastAsia="zh-CN"/>
        </w:rPr>
        <w:t>f</w:t>
      </w:r>
      <w:r>
        <w:rPr>
          <w:rFonts w:hint="eastAsia"/>
          <w:lang w:eastAsia="zh-CN"/>
        </w:rPr>
        <w:t>requency domain resource assignment</w:t>
      </w:r>
      <w:r>
        <w:rPr>
          <w:rFonts w:hint="eastAsia"/>
          <w:lang w:val="en-US" w:eastAsia="zh-CN"/>
        </w:rPr>
        <w:t xml:space="preserve"> domain</w:t>
      </w:r>
      <w:r>
        <w:rPr>
          <w:rFonts w:hint="eastAsia" w:eastAsia="宋体"/>
          <w:lang w:val="en-US" w:eastAsia="zh-CN"/>
        </w:rPr>
        <w:t xml:space="preserve">. </w:t>
      </w:r>
      <w:r>
        <w:rPr>
          <w:rFonts w:hint="eastAsia"/>
          <w:lang w:val="en-US" w:eastAsia="zh-CN"/>
        </w:rPr>
        <w:t xml:space="preserve">And for the </w:t>
      </w:r>
      <w:r>
        <w:rPr>
          <w:rFonts w:hint="eastAsia" w:eastAsia="宋体"/>
          <w:lang w:val="en-US" w:eastAsia="zh-CN"/>
        </w:rPr>
        <w:t>i</w:t>
      </w:r>
      <w:r>
        <w:t>nterlace</w:t>
      </w:r>
      <w:r>
        <w:rPr>
          <w:rFonts w:hint="eastAsia" w:eastAsia="宋体"/>
          <w:lang w:val="en-US" w:eastAsia="zh-CN"/>
        </w:rPr>
        <w:t xml:space="preserve">(s) </w:t>
      </w:r>
      <w:r>
        <w:rPr>
          <w:rFonts w:hint="eastAsia"/>
          <w:lang w:val="en-US" w:eastAsia="zh-CN"/>
        </w:rPr>
        <w:t>allocation, the detailed discussion can be seen in 2.2.2 section, and the same method can be used for sub-band(s) allocation. W</w:t>
      </w:r>
      <w:r>
        <w:t xml:space="preserve">ith the help of </w:t>
      </w:r>
      <w:r>
        <w:rPr>
          <w:rFonts w:hint="eastAsia"/>
          <w:lang w:val="en-US" w:eastAsia="zh-CN"/>
        </w:rPr>
        <w:t xml:space="preserve">the </w:t>
      </w:r>
      <w:r>
        <w:rPr>
          <w:rFonts w:hint="eastAsia" w:eastAsia="宋体"/>
          <w:lang w:val="en-US" w:eastAsia="zh-CN"/>
        </w:rPr>
        <w:t>allocated i</w:t>
      </w:r>
      <w:r>
        <w:t>nterlace</w:t>
      </w:r>
      <w:r>
        <w:rPr>
          <w:rFonts w:hint="eastAsia"/>
          <w:lang w:val="en-US" w:eastAsia="zh-CN"/>
        </w:rPr>
        <w:t>(s)</w:t>
      </w:r>
      <w:r>
        <w:rPr>
          <w:rFonts w:hint="eastAsia" w:eastAsia="宋体"/>
          <w:lang w:val="en-US" w:eastAsia="zh-CN"/>
        </w:rPr>
        <w:t xml:space="preserve"> and </w:t>
      </w:r>
      <w:r>
        <w:t>sub-band</w:t>
      </w:r>
      <w:r>
        <w:rPr>
          <w:rFonts w:hint="eastAsia"/>
          <w:lang w:val="en-US" w:eastAsia="zh-CN"/>
        </w:rPr>
        <w:t xml:space="preserve">(s) </w:t>
      </w:r>
      <w:r>
        <w:t>information, UE could determine the partial interlace allocations</w:t>
      </w:r>
      <w:r>
        <w:rPr>
          <w:rFonts w:hint="eastAsia"/>
          <w:lang w:val="en-US" w:eastAsia="zh-CN"/>
        </w:rPr>
        <w:t xml:space="preserve"> and know </w:t>
      </w:r>
      <w:r>
        <w:t xml:space="preserve">which PRB(s) in </w:t>
      </w:r>
      <w:r>
        <w:rPr>
          <w:rFonts w:hint="eastAsia"/>
          <w:lang w:val="en-US" w:eastAsia="zh-CN"/>
        </w:rPr>
        <w:t>the allocated</w:t>
      </w:r>
      <w:r>
        <w:t xml:space="preserve"> interlace</w:t>
      </w:r>
      <w:r>
        <w:rPr>
          <w:rFonts w:hint="eastAsia"/>
          <w:lang w:val="en-US" w:eastAsia="zh-CN"/>
        </w:rPr>
        <w:t>(s)</w:t>
      </w:r>
      <w:r>
        <w:t xml:space="preserve"> are</w:t>
      </w:r>
      <w:r>
        <w:rPr>
          <w:rFonts w:hint="eastAsia"/>
          <w:lang w:val="en-US" w:eastAsia="zh-CN"/>
        </w:rPr>
        <w:t xml:space="preserve"> schedul</w:t>
      </w:r>
      <w:r>
        <w:t>ed.</w:t>
      </w:r>
      <w:r>
        <w:rPr>
          <w:rFonts w:hint="eastAsia"/>
          <w:lang w:val="en-US" w:eastAsia="zh-CN"/>
        </w:rPr>
        <w:t xml:space="preserve"> Besides, for the case of UE occupying </w:t>
      </w:r>
      <w:r>
        <w:t>partial</w:t>
      </w:r>
      <w:r>
        <w:rPr>
          <w:rFonts w:hint="eastAsia"/>
          <w:lang w:val="en-US" w:eastAsia="zh-CN"/>
        </w:rPr>
        <w:t xml:space="preserve"> RB(s) of one </w:t>
      </w:r>
      <w:r>
        <w:rPr>
          <w:rFonts w:hint="eastAsia" w:eastAsia="宋体"/>
          <w:lang w:val="en-US" w:eastAsia="zh-CN"/>
        </w:rPr>
        <w:t>i</w:t>
      </w:r>
      <w:r>
        <w:t>nterlace</w:t>
      </w:r>
      <w:r>
        <w:rPr>
          <w:rFonts w:hint="eastAsia"/>
          <w:lang w:val="en-US" w:eastAsia="zh-CN"/>
        </w:rPr>
        <w:t xml:space="preserve"> in a BWP or sub-band, gNB can give the starting PRB index or the offset value of the first PRB of the BWP and the PRB number indication. And through this method, </w:t>
      </w:r>
      <w:r>
        <w:rPr>
          <w:rFonts w:hint="eastAsia" w:eastAsia="宋体"/>
          <w:lang w:val="en-US" w:eastAsia="zh-CN"/>
        </w:rPr>
        <w:t xml:space="preserve"> </w:t>
      </w:r>
      <w:r>
        <w:rPr>
          <w:lang w:eastAsia="zh-CN"/>
        </w:rPr>
        <w:t>partial interlace allocation</w:t>
      </w:r>
      <w:r>
        <w:rPr>
          <w:color w:val="FF0000"/>
          <w:lang w:eastAsia="zh-CN"/>
        </w:rPr>
        <w:t xml:space="preserve"> </w:t>
      </w:r>
      <w:r>
        <w:rPr>
          <w:rFonts w:hint="eastAsia"/>
          <w:color w:val="auto"/>
          <w:lang w:val="en-US" w:eastAsia="zh-CN"/>
        </w:rPr>
        <w:t>can also be reached.</w:t>
      </w:r>
    </w:p>
    <w:p>
      <w:pPr>
        <w:tabs>
          <w:tab w:val="center" w:pos="4702"/>
        </w:tabs>
        <w:jc w:val="both"/>
        <w:rPr>
          <w:rFonts w:hint="eastAsia"/>
          <w:lang w:val="en-US" w:eastAsia="zh-CN"/>
        </w:rPr>
      </w:pPr>
      <w:r>
        <w:rPr>
          <w:rFonts w:hint="eastAsia" w:eastAsia="宋体" w:cs="Arial"/>
          <w:lang w:val="en-US" w:eastAsia="zh-CN"/>
        </w:rPr>
        <w:t xml:space="preserve">For PUCCH, it has reached the agreement that a bandwidth occupied by a PUCCH resource does not exceed the bandwidth corresponding to a 20 MHz carrier/LBT bandwidth. And exploiting the partial interlace, gNB can allocate different </w:t>
      </w:r>
      <w:r>
        <w:t>sub-bands</w:t>
      </w:r>
      <w:r>
        <w:rPr>
          <w:rFonts w:hint="eastAsia" w:eastAsia="宋体"/>
          <w:lang w:val="en-US" w:eastAsia="zh-CN"/>
        </w:rPr>
        <w:t xml:space="preserve"> of the same </w:t>
      </w:r>
      <w:r>
        <w:t>interlace</w:t>
      </w:r>
      <w:r>
        <w:rPr>
          <w:rFonts w:hint="eastAsia" w:eastAsia="宋体"/>
          <w:lang w:val="en-US" w:eastAsia="zh-CN"/>
        </w:rPr>
        <w:t xml:space="preserve"> index to different UEs for FDM multiplexing. </w:t>
      </w:r>
      <w:r>
        <w:rPr>
          <w:rFonts w:hint="eastAsia" w:eastAsia="宋体" w:cs="Arial"/>
          <w:lang w:val="en-US" w:eastAsia="zh-CN"/>
        </w:rPr>
        <w:t xml:space="preserve">Therefore, </w:t>
      </w:r>
      <w:r>
        <w:t>partial interlace allocation</w:t>
      </w:r>
      <w:r>
        <w:rPr>
          <w:rFonts w:hint="eastAsia" w:eastAsia="宋体"/>
          <w:lang w:val="en-US" w:eastAsia="zh-CN"/>
        </w:rPr>
        <w:t xml:space="preserve"> should also be supported for PUCCH. And the allocation method as PUSCH can be reused.</w:t>
      </w:r>
    </w:p>
    <w:p>
      <w:pPr>
        <w:tabs>
          <w:tab w:val="center" w:pos="4702"/>
        </w:tabs>
        <w:jc w:val="both"/>
        <w:rPr>
          <w:rFonts w:hint="eastAsia"/>
          <w:lang w:eastAsia="zh-CN"/>
        </w:rPr>
      </w:pPr>
      <w:r>
        <w:fldChar w:fldCharType="begin"/>
      </w:r>
      <w:r>
        <w:instrText xml:space="preserve"> REF _Ref3916263 \h </w:instrText>
      </w:r>
      <w:r>
        <w:fldChar w:fldCharType="separate"/>
      </w:r>
      <w:r>
        <w:t xml:space="preserve">Figure </w:t>
      </w:r>
      <w:r>
        <w:rPr>
          <w:rFonts w:hint="eastAsia" w:eastAsia="宋体"/>
          <w:lang w:val="en-US" w:eastAsia="zh-CN"/>
        </w:rPr>
        <w:t>2</w:t>
      </w:r>
      <w:r>
        <w:fldChar w:fldCharType="end"/>
      </w:r>
      <w:r>
        <w:t xml:space="preserve"> shows an example of a carrier consisting of </w:t>
      </w:r>
      <w:r>
        <w:rPr>
          <w:rFonts w:hint="eastAsia" w:eastAsia="宋体"/>
          <w:lang w:val="en-US" w:eastAsia="zh-CN"/>
        </w:rPr>
        <w:t>4</w:t>
      </w:r>
      <w:r>
        <w:t xml:space="preserve"> sub-bands</w:t>
      </w:r>
      <w:r>
        <w:rPr>
          <w:rFonts w:hint="eastAsia" w:eastAsia="宋体"/>
          <w:lang w:val="en-US" w:eastAsia="zh-CN"/>
        </w:rPr>
        <w:t>. And UE1 is allocated in sub-band</w:t>
      </w:r>
      <w:r>
        <w:t xml:space="preserve"> </w:t>
      </w:r>
      <w:r>
        <w:rPr>
          <w:rFonts w:hint="eastAsia" w:eastAsia="宋体"/>
          <w:lang w:val="en-US" w:eastAsia="zh-CN"/>
        </w:rPr>
        <w:t xml:space="preserve">1 for PUSCH/PUCCH transmission in </w:t>
      </w:r>
      <w:r>
        <w:t>interlace</w:t>
      </w:r>
      <w:r>
        <w:rPr>
          <w:rFonts w:hint="eastAsia" w:eastAsia="宋体"/>
          <w:lang w:val="en-US" w:eastAsia="zh-CN"/>
        </w:rPr>
        <w:t xml:space="preserve"> #1. And UE2 is allocated in sub-band</w:t>
      </w:r>
      <w:r>
        <w:t xml:space="preserve"> </w:t>
      </w:r>
      <w:r>
        <w:rPr>
          <w:rFonts w:hint="eastAsia" w:eastAsia="宋体"/>
          <w:lang w:val="en-US" w:eastAsia="zh-CN"/>
        </w:rPr>
        <w:t xml:space="preserve">2 and 3 for PUSCH transmission in the same </w:t>
      </w:r>
      <w:r>
        <w:t>interlace</w:t>
      </w:r>
      <w:r>
        <w:rPr>
          <w:rFonts w:hint="eastAsia" w:eastAsia="宋体"/>
          <w:lang w:val="en-US" w:eastAsia="zh-CN"/>
        </w:rPr>
        <w:t xml:space="preserve"> #1. And UE3 is allocated in sub-band</w:t>
      </w:r>
      <w:r>
        <w:t xml:space="preserve"> </w:t>
      </w:r>
      <w:r>
        <w:rPr>
          <w:rFonts w:hint="eastAsia" w:eastAsia="宋体"/>
          <w:lang w:val="en-US" w:eastAsia="zh-CN"/>
        </w:rPr>
        <w:t xml:space="preserve">4 for PUSCH/PUCCH transmission in the same </w:t>
      </w:r>
      <w:r>
        <w:t>interlace</w:t>
      </w:r>
      <w:r>
        <w:rPr>
          <w:rFonts w:hint="eastAsia" w:eastAsia="宋体"/>
          <w:lang w:val="en-US" w:eastAsia="zh-CN"/>
        </w:rPr>
        <w:t xml:space="preserve"> #1. And </w:t>
      </w:r>
      <w:r>
        <w:t xml:space="preserve">within </w:t>
      </w:r>
      <w:r>
        <w:rPr>
          <w:rFonts w:hint="eastAsia" w:eastAsia="宋体"/>
          <w:lang w:val="en-US" w:eastAsia="zh-CN"/>
        </w:rPr>
        <w:t>the assigned</w:t>
      </w:r>
      <w:r>
        <w:t xml:space="preserve"> sub-band</w:t>
      </w:r>
      <w:r>
        <w:rPr>
          <w:rFonts w:hint="eastAsia" w:eastAsia="宋体"/>
          <w:lang w:val="en-US" w:eastAsia="zh-CN"/>
        </w:rPr>
        <w:t>,</w:t>
      </w:r>
      <w:r>
        <w:t xml:space="preserve"> a UE uses all the PRBs of th</w:t>
      </w:r>
      <w:r>
        <w:rPr>
          <w:rFonts w:hint="eastAsia" w:eastAsia="宋体"/>
          <w:lang w:val="en-US" w:eastAsia="zh-CN"/>
        </w:rPr>
        <w:t>is</w:t>
      </w:r>
      <w:r>
        <w:t xml:space="preserve"> interlace</w:t>
      </w:r>
      <w:r>
        <w:rPr>
          <w:rFonts w:hint="eastAsia" w:eastAsia="宋体"/>
          <w:lang w:val="en-US" w:eastAsia="zh-CN"/>
        </w:rPr>
        <w:t xml:space="preserve">. With this </w:t>
      </w:r>
      <w:r>
        <w:rPr>
          <w:lang w:eastAsia="zh-CN"/>
        </w:rPr>
        <w:t>partial interlace allocation and transmission</w:t>
      </w:r>
      <w:r>
        <w:rPr>
          <w:rFonts w:hint="eastAsia"/>
          <w:lang w:val="en-US" w:eastAsia="zh-CN"/>
        </w:rPr>
        <w:t xml:space="preserve"> </w:t>
      </w:r>
      <w:r>
        <w:rPr>
          <w:rFonts w:hint="eastAsia" w:eastAsia="宋体"/>
          <w:lang w:val="en-US" w:eastAsia="zh-CN"/>
        </w:rPr>
        <w:t xml:space="preserve">method,  interlace #1 can be used by different UEs. </w:t>
      </w:r>
    </w:p>
    <w:p>
      <w:pPr>
        <w:rPr>
          <w:rFonts w:hint="eastAsia"/>
          <w:lang w:eastAsia="zh-CN"/>
        </w:rPr>
      </w:pPr>
      <w:r>
        <w:object>
          <v:shape id="_x0000_i1026" o:spt="75" type="#_x0000_t75" style="height:125pt;width:470pt;" o:ole="t" filled="f" o:preferrelative="t" stroked="f" coordsize="21600,21600">
            <v:path/>
            <v:fill on="f" focussize="0,0"/>
            <v:stroke on="f" joinstyle="miter"/>
            <v:imagedata r:id="rId7" o:title=""/>
            <o:lock v:ext="edit" aspectratio="t"/>
            <w10:wrap type="none"/>
            <w10:anchorlock/>
          </v:shape>
          <o:OLEObject Type="Embed" ProgID="Visio.Drawing.11" ShapeID="_x0000_i1026" DrawAspect="Content" ObjectID="_1468075726" r:id="rId6">
            <o:LockedField>false</o:LockedField>
          </o:OLEObject>
        </w:object>
      </w:r>
    </w:p>
    <w:p>
      <w:pPr>
        <w:pStyle w:val="14"/>
        <w:jc w:val="center"/>
        <w:rPr>
          <w:b w:val="0"/>
          <w:bCs w:val="0"/>
        </w:rPr>
      </w:pPr>
      <w:r>
        <w:rPr>
          <w:b w:val="0"/>
          <w:bCs w:val="0"/>
        </w:rPr>
        <w:t xml:space="preserve">Figure </w:t>
      </w:r>
      <w:bookmarkEnd w:id="9"/>
      <w:r>
        <w:rPr>
          <w:rFonts w:hint="eastAsia" w:eastAsia="宋体"/>
          <w:b w:val="0"/>
          <w:bCs w:val="0"/>
          <w:lang w:val="en-US" w:eastAsia="zh-CN"/>
        </w:rPr>
        <w:t>2</w:t>
      </w:r>
      <w:r>
        <w:rPr>
          <w:b w:val="0"/>
          <w:bCs w:val="0"/>
        </w:rPr>
        <w:t xml:space="preserve">. Example of partial interlace allocation for </w:t>
      </w:r>
      <w:r>
        <w:rPr>
          <w:rFonts w:hint="eastAsia" w:eastAsia="宋体"/>
          <w:b w:val="0"/>
          <w:bCs w:val="0"/>
          <w:lang w:val="en-US" w:eastAsia="zh-CN"/>
        </w:rPr>
        <w:t>different</w:t>
      </w:r>
      <w:r>
        <w:rPr>
          <w:b w:val="0"/>
          <w:bCs w:val="0"/>
        </w:rPr>
        <w:t xml:space="preserve"> UE</w:t>
      </w:r>
      <w:r>
        <w:rPr>
          <w:rFonts w:hint="eastAsia" w:eastAsia="宋体"/>
          <w:b w:val="0"/>
          <w:bCs w:val="0"/>
          <w:lang w:val="en-US" w:eastAsia="zh-CN"/>
        </w:rPr>
        <w:t>s</w:t>
      </w:r>
      <w:bookmarkEnd w:id="10"/>
    </w:p>
    <w:p>
      <w:pPr>
        <w:tabs>
          <w:tab w:val="center" w:pos="4702"/>
        </w:tabs>
        <w:jc w:val="both"/>
        <w:rPr>
          <w:rFonts w:hint="eastAsia"/>
          <w:bCs/>
          <w:i/>
          <w:lang w:val="en-US" w:eastAsia="zh-CN"/>
        </w:rPr>
      </w:pPr>
      <w:r>
        <w:rPr>
          <w:rFonts w:eastAsia="宋体"/>
          <w:b/>
          <w:lang w:eastAsia="zh-CN"/>
        </w:rPr>
        <w:t xml:space="preserve">Proposal </w:t>
      </w:r>
      <w:r>
        <w:rPr>
          <w:rFonts w:hint="eastAsia" w:eastAsia="宋体"/>
          <w:b/>
          <w:lang w:val="en-US" w:eastAsia="zh-CN"/>
        </w:rPr>
        <w:t>2</w:t>
      </w:r>
      <w:r>
        <w:rPr>
          <w:rFonts w:eastAsia="宋体"/>
          <w:b/>
          <w:lang w:eastAsia="zh-CN"/>
        </w:rPr>
        <w:t>:</w:t>
      </w:r>
      <w:r>
        <w:rPr>
          <w:rFonts w:hint="eastAsia" w:eastAsia="宋体"/>
          <w:b/>
          <w:lang w:val="en-US" w:eastAsia="zh-CN"/>
        </w:rPr>
        <w:t xml:space="preserve"> </w:t>
      </w:r>
      <w:r>
        <w:rPr>
          <w:bCs/>
          <w:i/>
          <w:lang w:eastAsia="zh-CN"/>
        </w:rPr>
        <w:t>Partial interlace allocation should be supported</w:t>
      </w:r>
      <w:r>
        <w:rPr>
          <w:rFonts w:hint="eastAsia"/>
          <w:bCs/>
          <w:i/>
          <w:lang w:val="en-US" w:eastAsia="zh-CN"/>
        </w:rPr>
        <w:t>.</w:t>
      </w:r>
    </w:p>
    <w:p>
      <w:pPr>
        <w:numPr>
          <w:ilvl w:val="-1"/>
          <w:numId w:val="0"/>
        </w:numPr>
        <w:ind w:left="0" w:firstLine="0"/>
        <w:rPr>
          <w:rFonts w:hint="eastAsia" w:eastAsia="宋体"/>
          <w:bCs/>
          <w:i/>
          <w:iCs/>
          <w:lang w:val="en-US" w:eastAsia="zh-CN"/>
        </w:rPr>
      </w:pPr>
      <w:r>
        <w:rPr>
          <w:rFonts w:eastAsia="宋体"/>
          <w:b/>
          <w:lang w:eastAsia="zh-CN"/>
        </w:rPr>
        <w:t xml:space="preserve">Proposal </w:t>
      </w:r>
      <w:r>
        <w:rPr>
          <w:rFonts w:hint="eastAsia" w:eastAsia="宋体"/>
          <w:b/>
          <w:lang w:val="en-US" w:eastAsia="zh-CN"/>
        </w:rPr>
        <w:t>3</w:t>
      </w:r>
      <w:r>
        <w:rPr>
          <w:rFonts w:eastAsia="宋体"/>
          <w:b/>
          <w:lang w:eastAsia="zh-CN"/>
        </w:rPr>
        <w:t>:</w:t>
      </w:r>
      <w:r>
        <w:rPr>
          <w:rFonts w:hint="eastAsia" w:eastAsia="宋体"/>
          <w:b/>
          <w:lang w:val="en-US" w:eastAsia="zh-CN"/>
        </w:rPr>
        <w:t xml:space="preserve"> </w:t>
      </w:r>
      <w:r>
        <w:rPr>
          <w:rFonts w:hint="eastAsia" w:eastAsia="宋体"/>
          <w:bCs/>
          <w:i/>
          <w:iCs/>
          <w:lang w:val="en-US" w:eastAsia="zh-CN"/>
        </w:rPr>
        <w:t>In order to support partial interlace for PUSCH/PUCCH transmission, below two methods can be considered:</w:t>
      </w:r>
    </w:p>
    <w:p>
      <w:pPr>
        <w:numPr>
          <w:ilvl w:val="0"/>
          <w:numId w:val="13"/>
        </w:numPr>
        <w:ind w:left="420" w:hanging="420"/>
        <w:jc w:val="left"/>
        <w:rPr>
          <w:rFonts w:hint="eastAsia" w:eastAsia="宋体"/>
          <w:bCs/>
          <w:i/>
          <w:iCs/>
          <w:lang w:val="en-US" w:eastAsia="zh-CN"/>
        </w:rPr>
      </w:pPr>
      <w:r>
        <w:rPr>
          <w:rFonts w:hint="eastAsia" w:eastAsia="宋体"/>
          <w:bCs/>
          <w:i/>
          <w:iCs/>
          <w:lang w:val="en-US" w:eastAsia="zh-CN"/>
        </w:rPr>
        <w:t xml:space="preserve">Alt 1:Indicating allocated interlace(s) and sub-band(s) in the frequency domain resource assignment  scheme </w:t>
      </w:r>
    </w:p>
    <w:p>
      <w:pPr>
        <w:numPr>
          <w:ilvl w:val="0"/>
          <w:numId w:val="13"/>
        </w:numPr>
        <w:ind w:left="420" w:hanging="420"/>
        <w:jc w:val="left"/>
        <w:rPr>
          <w:rFonts w:hint="eastAsia" w:eastAsia="宋体"/>
          <w:bCs/>
          <w:i/>
          <w:iCs/>
          <w:lang w:val="en-US" w:eastAsia="zh-CN"/>
        </w:rPr>
      </w:pPr>
      <w:r>
        <w:rPr>
          <w:rFonts w:hint="eastAsia" w:eastAsia="宋体"/>
          <w:bCs/>
          <w:i/>
          <w:iCs/>
          <w:lang w:val="en-US" w:eastAsia="zh-CN"/>
        </w:rPr>
        <w:t xml:space="preserve">Alt 2: Indicating allocated interlace(s) and the </w:t>
      </w:r>
      <w:r>
        <w:rPr>
          <w:rFonts w:hint="eastAsia"/>
          <w:i/>
          <w:iCs/>
          <w:lang w:val="en-US" w:eastAsia="zh-CN"/>
        </w:rPr>
        <w:t>starting PRB index or the offset value of the first PRB of the BWP and the PRB number.</w:t>
      </w:r>
    </w:p>
    <w:bookmarkEnd w:id="7"/>
    <w:bookmarkEnd w:id="8"/>
    <w:p>
      <w:pPr>
        <w:pStyle w:val="4"/>
        <w:numPr>
          <w:ilvl w:val="2"/>
          <w:numId w:val="1"/>
        </w:numPr>
        <w:ind w:left="720" w:hanging="720"/>
        <w:rPr>
          <w:b/>
          <w:bCs/>
          <w:lang w:val="en-US" w:eastAsia="zh-CN"/>
        </w:rPr>
      </w:pPr>
      <w:bookmarkStart w:id="11" w:name="_Toc535588809"/>
      <w:r>
        <w:rPr>
          <w:rFonts w:hint="eastAsia"/>
          <w:b/>
          <w:bCs/>
          <w:lang w:val="en-US" w:eastAsia="zh-CN"/>
        </w:rPr>
        <w:t xml:space="preserve"> DFT-s-OFDM for interlaced transmissions</w:t>
      </w:r>
      <w:bookmarkEnd w:id="11"/>
    </w:p>
    <w:p>
      <w:pPr>
        <w:pStyle w:val="16"/>
        <w:jc w:val="both"/>
        <w:rPr>
          <w:rFonts w:eastAsia="宋体"/>
          <w:lang w:val="en-US" w:eastAsia="ko-KR"/>
        </w:rPr>
      </w:pPr>
      <w:r>
        <w:rPr>
          <w:rFonts w:eastAsia="宋体"/>
          <w:lang w:val="en-US" w:eastAsia="zh-CN"/>
        </w:rPr>
        <w:t xml:space="preserve">In NR, CP-OFDM </w:t>
      </w:r>
      <w:r>
        <w:rPr>
          <w:rFonts w:hint="eastAsia" w:eastAsia="宋体"/>
          <w:lang w:val="en-US" w:eastAsia="zh-CN"/>
        </w:rPr>
        <w:t xml:space="preserve">waveform </w:t>
      </w:r>
      <w:r>
        <w:rPr>
          <w:rFonts w:eastAsia="宋体"/>
          <w:lang w:val="en-US" w:eastAsia="zh-CN"/>
        </w:rPr>
        <w:t>is supported with non-contiguous frequency resource allocation. It can directly be reused to meet the regulatory requirement</w:t>
      </w:r>
      <w:r>
        <w:rPr>
          <w:rFonts w:hint="eastAsia" w:eastAsia="宋体"/>
          <w:lang w:val="en-US" w:eastAsia="zh-CN"/>
        </w:rPr>
        <w:t xml:space="preserve"> and simplifie</w:t>
      </w:r>
      <w:r>
        <w:rPr>
          <w:rFonts w:eastAsia="宋体"/>
          <w:lang w:val="en-US" w:eastAsia="zh-CN"/>
        </w:rPr>
        <w:t xml:space="preserve">s </w:t>
      </w:r>
      <w:r>
        <w:rPr>
          <w:rFonts w:hint="eastAsia" w:eastAsia="宋体"/>
          <w:lang w:val="en-US" w:eastAsia="zh-CN"/>
        </w:rPr>
        <w:t>some design</w:t>
      </w:r>
      <w:r>
        <w:rPr>
          <w:rFonts w:eastAsia="宋体"/>
          <w:lang w:val="en-US" w:eastAsia="zh-CN"/>
        </w:rPr>
        <w:t xml:space="preserve">. </w:t>
      </w:r>
      <w:r>
        <w:rPr>
          <w:rFonts w:hint="eastAsia" w:eastAsia="宋体"/>
          <w:lang w:val="en-US" w:eastAsia="zh-CN"/>
        </w:rPr>
        <w:t>F</w:t>
      </w:r>
      <w:r>
        <w:rPr>
          <w:rFonts w:eastAsia="宋体"/>
          <w:lang w:val="en-US" w:eastAsia="zh-CN"/>
        </w:rPr>
        <w:t>or DFT-</w:t>
      </w:r>
      <w:r>
        <w:rPr>
          <w:rFonts w:hint="eastAsia" w:eastAsia="宋体"/>
          <w:lang w:val="en-US" w:eastAsia="zh-CN"/>
        </w:rPr>
        <w:t>s-</w:t>
      </w:r>
      <w:r>
        <w:rPr>
          <w:rFonts w:eastAsia="宋体"/>
          <w:lang w:val="en-US" w:eastAsia="zh-CN"/>
        </w:rPr>
        <w:t>OFDM waveform</w:t>
      </w:r>
      <w:r>
        <w:rPr>
          <w:rFonts w:hint="eastAsia" w:eastAsia="宋体"/>
          <w:lang w:val="en-US" w:eastAsia="zh-CN"/>
        </w:rPr>
        <w:t xml:space="preserve">, it </w:t>
      </w:r>
      <w:r>
        <w:rPr>
          <w:rFonts w:eastAsia="宋体"/>
          <w:lang w:val="en-US" w:eastAsia="zh-CN"/>
        </w:rPr>
        <w:t>has lower</w:t>
      </w:r>
      <w:r>
        <w:t xml:space="preserve"> PAPR compar</w:t>
      </w:r>
      <w:r>
        <w:rPr>
          <w:rFonts w:hint="eastAsia" w:eastAsia="宋体"/>
          <w:lang w:val="en-US" w:eastAsia="zh-CN"/>
        </w:rPr>
        <w:t>ing</w:t>
      </w:r>
      <w:r>
        <w:t xml:space="preserve"> to CP-OFDM, which </w:t>
      </w:r>
      <w:r>
        <w:rPr>
          <w:rFonts w:hint="eastAsia" w:eastAsia="宋体"/>
          <w:lang w:val="en-US" w:eastAsia="zh-CN"/>
        </w:rPr>
        <w:t>will help to</w:t>
      </w:r>
      <w:r>
        <w:t xml:space="preserve"> achieve larger coverage than </w:t>
      </w:r>
      <w:r>
        <w:rPr>
          <w:rFonts w:hint="eastAsia" w:eastAsia="宋体"/>
          <w:lang w:val="en-US" w:eastAsia="zh-CN"/>
        </w:rPr>
        <w:t>CP-</w:t>
      </w:r>
      <w:r>
        <w:t xml:space="preserve">OFDM in power limited scenarios. </w:t>
      </w:r>
      <w:r>
        <w:rPr>
          <w:rFonts w:hint="eastAsia" w:eastAsia="宋体"/>
          <w:lang w:val="en-US" w:eastAsia="zh-CN"/>
        </w:rPr>
        <w:t xml:space="preserve">However, </w:t>
      </w:r>
      <w:r>
        <w:rPr>
          <w:rFonts w:hint="eastAsia"/>
          <w:lang w:val="en-US" w:eastAsia="zh-CN"/>
        </w:rPr>
        <w:t xml:space="preserve">NR-U </w:t>
      </w:r>
      <w:r>
        <w:rPr>
          <w:lang w:val="en-US" w:eastAsia="ja-JP"/>
        </w:rPr>
        <w:t xml:space="preserve">mainly targets for the </w:t>
      </w:r>
      <w:r>
        <w:rPr>
          <w:rFonts w:hint="eastAsia"/>
          <w:lang w:val="en-US" w:eastAsia="zh-CN"/>
        </w:rPr>
        <w:t xml:space="preserve">small cell scenario, </w:t>
      </w:r>
      <w:r>
        <w:rPr>
          <w:rFonts w:hint="eastAsia" w:eastAsia="宋体"/>
          <w:lang w:val="en-US" w:eastAsia="zh-CN"/>
        </w:rPr>
        <w:t xml:space="preserve">coverage </w:t>
      </w:r>
      <w:r>
        <w:rPr>
          <w:lang w:val="en-US" w:eastAsia="zh-CN"/>
        </w:rPr>
        <w:t>may not be a critical issue</w:t>
      </w:r>
      <w:r>
        <w:rPr>
          <w:rFonts w:hint="eastAsia" w:eastAsia="宋体"/>
          <w:lang w:val="en-US" w:eastAsia="zh-CN"/>
        </w:rPr>
        <w:t>. Besides,</w:t>
      </w:r>
      <w:r>
        <w:t xml:space="preserve"> the PAPR </w:t>
      </w:r>
      <w:bookmarkStart w:id="12" w:name="OLE_LINK3"/>
      <w:r>
        <w:rPr>
          <w:rFonts w:hint="eastAsia" w:eastAsia="宋体"/>
          <w:lang w:val="en-US" w:eastAsia="zh-CN"/>
        </w:rPr>
        <w:t>reduction</w:t>
      </w:r>
      <w:bookmarkEnd w:id="12"/>
      <w:r>
        <w:rPr>
          <w:rFonts w:hint="eastAsia" w:eastAsia="宋体"/>
          <w:lang w:val="en-US" w:eastAsia="zh-CN"/>
        </w:rPr>
        <w:t xml:space="preserve"> of DFT-s</w:t>
      </w:r>
      <w:r>
        <w:t>-FDM</w:t>
      </w:r>
      <w:r>
        <w:rPr>
          <w:rFonts w:hint="eastAsia" w:eastAsia="宋体"/>
          <w:lang w:val="en-US" w:eastAsia="zh-CN"/>
        </w:rPr>
        <w:t xml:space="preserve"> is</w:t>
      </w:r>
      <w:r>
        <w:t xml:space="preserve"> </w:t>
      </w:r>
      <w:r>
        <w:rPr>
          <w:rFonts w:hint="eastAsia" w:eastAsia="宋体"/>
          <w:lang w:val="en-US" w:eastAsia="zh-CN"/>
        </w:rPr>
        <w:t>limit</w:t>
      </w:r>
      <w:r>
        <w:t>ed due to the interlace structure.</w:t>
      </w:r>
      <w:r>
        <w:rPr>
          <w:rFonts w:hint="eastAsia" w:eastAsia="宋体"/>
          <w:lang w:val="en-US" w:eastAsia="zh-CN"/>
        </w:rPr>
        <w:t xml:space="preserve"> Therefore, </w:t>
      </w:r>
      <w:r>
        <w:t>the PAPR advantages offered by DFT-s-OFDM would be reduced or even disappear when interlaced transmission is introduced for PUSCH.</w:t>
      </w:r>
      <w:r>
        <w:rPr>
          <w:rFonts w:hint="eastAsia" w:eastAsia="宋体"/>
          <w:lang w:val="en-US" w:eastAsia="zh-CN"/>
        </w:rPr>
        <w:t xml:space="preserve"> Furthermore,</w:t>
      </w:r>
      <w:r>
        <w:rPr>
          <w:rFonts w:eastAsia="宋体"/>
          <w:lang w:val="en-US" w:eastAsia="zh-CN"/>
        </w:rPr>
        <w:t xml:space="preserve"> </w:t>
      </w:r>
      <w:r>
        <w:t xml:space="preserve">DFT-s-OFDM introduces </w:t>
      </w:r>
      <w:r>
        <w:rPr>
          <w:rFonts w:hint="eastAsia" w:eastAsia="宋体"/>
          <w:lang w:val="en-US" w:eastAsia="zh-CN"/>
        </w:rPr>
        <w:t xml:space="preserve">some </w:t>
      </w:r>
      <w:r>
        <w:t>constraints on the interlace design, e.g., restrictions on the number of PRBs per interlace</w:t>
      </w:r>
      <w:r>
        <w:rPr>
          <w:rFonts w:hint="eastAsia" w:eastAsia="宋体"/>
          <w:lang w:val="en-US" w:eastAsia="zh-CN"/>
        </w:rPr>
        <w:t xml:space="preserve">. Therefore, </w:t>
      </w:r>
      <w:r>
        <w:t>DFT-s-OFDM should not be supported for interlaced transmissions.</w:t>
      </w:r>
    </w:p>
    <w:p>
      <w:pPr>
        <w:pStyle w:val="16"/>
        <w:spacing w:after="0"/>
        <w:jc w:val="both"/>
        <w:rPr>
          <w:rFonts w:eastAsia="宋体" w:cs="Arial"/>
          <w:b/>
          <w:i/>
          <w:iCs/>
          <w:sz w:val="24"/>
          <w:szCs w:val="24"/>
          <w:lang w:val="en-US" w:eastAsia="zh-CN"/>
        </w:rPr>
      </w:pPr>
      <w:r>
        <w:rPr>
          <w:rFonts w:eastAsia="宋体"/>
          <w:b/>
          <w:lang w:eastAsia="zh-CN"/>
        </w:rPr>
        <w:t xml:space="preserve">Proposal </w:t>
      </w:r>
      <w:r>
        <w:rPr>
          <w:rFonts w:hint="eastAsia" w:eastAsia="宋体"/>
          <w:b/>
          <w:lang w:val="en-US" w:eastAsia="zh-CN"/>
        </w:rPr>
        <w:t>4</w:t>
      </w:r>
      <w:r>
        <w:rPr>
          <w:rFonts w:eastAsia="宋体"/>
          <w:b/>
          <w:lang w:eastAsia="zh-CN"/>
        </w:rPr>
        <w:t xml:space="preserve">: </w:t>
      </w:r>
      <w:r>
        <w:rPr>
          <w:rFonts w:hint="eastAsia" w:eastAsia="宋体"/>
          <w:i/>
          <w:iCs/>
          <w:lang w:val="en-US" w:eastAsia="zh-CN"/>
        </w:rPr>
        <w:t>Only</w:t>
      </w:r>
      <w:r>
        <w:rPr>
          <w:i/>
          <w:iCs/>
        </w:rPr>
        <w:t xml:space="preserve"> CP-OFDM </w:t>
      </w:r>
      <w:r>
        <w:rPr>
          <w:rFonts w:hint="eastAsia" w:eastAsia="宋体"/>
          <w:i/>
          <w:iCs/>
          <w:lang w:val="en-US" w:eastAsia="zh-CN"/>
        </w:rPr>
        <w:t xml:space="preserve">waveform is </w:t>
      </w:r>
      <w:r>
        <w:rPr>
          <w:i/>
          <w:iCs/>
        </w:rPr>
        <w:t>supported for interlaced PUSCH</w:t>
      </w:r>
      <w:r>
        <w:rPr>
          <w:rFonts w:hint="eastAsia" w:eastAsia="宋体"/>
          <w:i/>
          <w:iCs/>
          <w:lang w:val="en-US" w:eastAsia="zh-CN"/>
        </w:rPr>
        <w:t xml:space="preserve"> </w:t>
      </w:r>
      <w:r>
        <w:rPr>
          <w:i/>
          <w:iCs/>
        </w:rPr>
        <w:t>transmission</w:t>
      </w:r>
      <w:r>
        <w:rPr>
          <w:rFonts w:hint="eastAsia" w:eastAsia="宋体"/>
          <w:i/>
          <w:iCs/>
          <w:lang w:val="en-US" w:eastAsia="zh-CN"/>
        </w:rPr>
        <w:t>.</w:t>
      </w:r>
    </w:p>
    <w:p>
      <w:pPr>
        <w:pStyle w:val="3"/>
        <w:jc w:val="both"/>
        <w:rPr>
          <w:rFonts w:eastAsia="宋体" w:cs="Arial"/>
          <w:b/>
          <w:sz w:val="24"/>
          <w:szCs w:val="24"/>
          <w:lang w:val="en-US" w:eastAsia="zh-CN"/>
        </w:rPr>
      </w:pPr>
      <w:r>
        <w:rPr>
          <w:rFonts w:hint="eastAsia" w:eastAsia="宋体" w:cs="Arial"/>
          <w:b/>
          <w:sz w:val="24"/>
          <w:szCs w:val="24"/>
          <w:lang w:val="en-US" w:eastAsia="zh-CN"/>
        </w:rPr>
        <w:t xml:space="preserve"> PUSCH</w:t>
      </w:r>
    </w:p>
    <w:p>
      <w:pPr>
        <w:pStyle w:val="4"/>
        <w:tabs>
          <w:tab w:val="left" w:pos="450"/>
        </w:tabs>
        <w:spacing w:before="200" w:after="180" w:line="260" w:lineRule="auto"/>
        <w:ind w:left="567" w:hanging="567"/>
        <w:rPr>
          <w:rFonts w:cs="Times New Roman"/>
          <w:b/>
          <w:iCs w:val="0"/>
          <w:color w:val="000000"/>
          <w:sz w:val="21"/>
          <w:szCs w:val="21"/>
          <w:lang w:val="en-US" w:eastAsia="zh-CN"/>
        </w:rPr>
      </w:pPr>
      <w:r>
        <w:rPr>
          <w:rFonts w:hint="eastAsia" w:cs="Times New Roman"/>
          <w:b/>
          <w:iCs w:val="0"/>
          <w:color w:val="000000"/>
          <w:sz w:val="21"/>
          <w:szCs w:val="21"/>
          <w:lang w:val="en-US" w:eastAsia="zh-CN"/>
        </w:rPr>
        <w:t>Multiple starting positions for scheduled PUSCH</w:t>
      </w:r>
    </w:p>
    <w:p>
      <w:pPr>
        <w:spacing w:before="120" w:after="120"/>
        <w:jc w:val="both"/>
        <w:rPr>
          <w:lang w:eastAsia="zh-CN"/>
        </w:rPr>
      </w:pPr>
      <w:r>
        <w:rPr>
          <w:lang w:eastAsia="zh-CN"/>
        </w:rPr>
        <w:t>The following options have been identified as possible candidate</w:t>
      </w:r>
      <w:r>
        <w:rPr>
          <w:rFonts w:hint="eastAsia"/>
          <w:lang w:val="en-US" w:eastAsia="zh-CN"/>
        </w:rPr>
        <w:t>s</w:t>
      </w:r>
      <w:r>
        <w:rPr>
          <w:lang w:eastAsia="zh-CN"/>
        </w:rPr>
        <w:t xml:space="preserve"> at least for the first PUSCH(s) transmitted in the UL transmission burst.</w:t>
      </w:r>
    </w:p>
    <w:p>
      <w:pPr>
        <w:numPr>
          <w:ilvl w:val="0"/>
          <w:numId w:val="14"/>
        </w:numPr>
        <w:spacing w:before="120" w:after="120"/>
        <w:jc w:val="both"/>
        <w:rPr>
          <w:lang w:eastAsia="zh-CN"/>
        </w:rPr>
      </w:pPr>
      <w:r>
        <w:rPr>
          <w:rFonts w:hint="eastAsia"/>
          <w:lang w:eastAsia="zh-CN"/>
        </w:rPr>
        <w:t>Option 1</w:t>
      </w:r>
      <w:r>
        <w:rPr>
          <w:lang w:eastAsia="zh-CN"/>
        </w:rPr>
        <w:t>: PUSCH(s) as in Rel-15 NR</w:t>
      </w:r>
    </w:p>
    <w:p>
      <w:pPr>
        <w:numPr>
          <w:ilvl w:val="0"/>
          <w:numId w:val="14"/>
        </w:numPr>
        <w:spacing w:before="120" w:after="120"/>
        <w:jc w:val="both"/>
        <w:rPr>
          <w:lang w:eastAsia="zh-CN"/>
        </w:rPr>
      </w:pPr>
      <w:r>
        <w:rPr>
          <w:lang w:eastAsia="zh-CN"/>
        </w:rPr>
        <w:t xml:space="preserve">Option 2: Multiple candidate starting positions in one or multiple slot(s) are allowed for PUSCH scheduled by a single UL grant (i.e., not a configured grant) and one of the multiple PUSCH starting positions can be chosen depending on LBT outcome. </w:t>
      </w:r>
    </w:p>
    <w:p>
      <w:pPr>
        <w:spacing w:before="120"/>
        <w:jc w:val="both"/>
        <w:rPr>
          <w:lang w:eastAsia="zh-CN"/>
        </w:rPr>
      </w:pPr>
      <w:r>
        <w:rPr>
          <w:lang w:eastAsia="zh-CN"/>
        </w:rPr>
        <w:t>Option 1 already supports certain level of flexible UL starting position within one slot. However, this option may result in more signaling overhead</w:t>
      </w:r>
      <w:r>
        <w:rPr>
          <w:lang w:val="en-US" w:eastAsia="zh-CN"/>
        </w:rPr>
        <w:t xml:space="preserve"> </w:t>
      </w:r>
      <w:r>
        <w:rPr>
          <w:rFonts w:hint="eastAsia"/>
          <w:lang w:val="en-US" w:eastAsia="zh-CN"/>
        </w:rPr>
        <w:t>if</w:t>
      </w:r>
      <w:r>
        <w:rPr>
          <w:lang w:val="en-US" w:eastAsia="zh-CN"/>
        </w:rPr>
        <w:t xml:space="preserve"> each min</w:t>
      </w:r>
      <w:r>
        <w:rPr>
          <w:rFonts w:hint="eastAsia"/>
          <w:lang w:val="en-US" w:eastAsia="zh-CN"/>
        </w:rPr>
        <w:t>i</w:t>
      </w:r>
      <w:r>
        <w:rPr>
          <w:lang w:val="en-US" w:eastAsia="zh-CN"/>
        </w:rPr>
        <w:t>-slot PUSCH scheduling need</w:t>
      </w:r>
      <w:r>
        <w:rPr>
          <w:rFonts w:hint="eastAsia"/>
          <w:lang w:val="en-US" w:eastAsia="zh-CN"/>
        </w:rPr>
        <w:t>s</w:t>
      </w:r>
      <w:r>
        <w:rPr>
          <w:lang w:val="en-US" w:eastAsia="zh-CN"/>
        </w:rPr>
        <w:t xml:space="preserve"> </w:t>
      </w:r>
      <w:r>
        <w:rPr>
          <w:rFonts w:hint="eastAsia"/>
          <w:lang w:val="en-US" w:eastAsia="zh-CN"/>
        </w:rPr>
        <w:t>a</w:t>
      </w:r>
      <w:r>
        <w:rPr>
          <w:lang w:val="en-US" w:eastAsia="zh-CN"/>
        </w:rPr>
        <w:t xml:space="preserve"> DCI as current specification</w:t>
      </w:r>
      <w:r>
        <w:rPr>
          <w:lang w:eastAsia="zh-CN"/>
        </w:rPr>
        <w:t xml:space="preserve">. </w:t>
      </w:r>
      <w:r>
        <w:rPr>
          <w:rFonts w:hint="eastAsia"/>
          <w:lang w:val="en-US" w:eastAsia="zh-CN"/>
        </w:rPr>
        <w:t xml:space="preserve">Besides, </w:t>
      </w:r>
      <w:r>
        <w:rPr>
          <w:lang w:val="en-US" w:eastAsia="zh-CN"/>
        </w:rPr>
        <w:t>splitting</w:t>
      </w:r>
      <w:r>
        <w:rPr>
          <w:lang w:eastAsia="zh-CN"/>
        </w:rPr>
        <w:t xml:space="preserve"> a slot-based PUSCH into multiple mini-slot-based PUSCHs </w:t>
      </w:r>
      <w:r>
        <w:rPr>
          <w:rFonts w:hint="eastAsia"/>
          <w:lang w:val="en-US" w:eastAsia="zh-CN"/>
        </w:rPr>
        <w:t>will result in</w:t>
      </w:r>
      <w:r>
        <w:rPr>
          <w:lang w:eastAsia="zh-CN"/>
        </w:rPr>
        <w:t xml:space="preserve"> </w:t>
      </w:r>
      <w:r>
        <w:rPr>
          <w:rFonts w:hint="eastAsia"/>
          <w:lang w:val="en-US" w:eastAsia="zh-CN"/>
        </w:rPr>
        <w:t xml:space="preserve">low </w:t>
      </w:r>
      <w:r>
        <w:rPr>
          <w:lang w:eastAsia="zh-CN"/>
        </w:rPr>
        <w:t>resource</w:t>
      </w:r>
      <w:r>
        <w:rPr>
          <w:rFonts w:hint="eastAsia"/>
          <w:lang w:val="en-US" w:eastAsia="zh-CN"/>
        </w:rPr>
        <w:t xml:space="preserve"> utilization</w:t>
      </w:r>
      <w:r>
        <w:rPr>
          <w:lang w:eastAsia="zh-CN"/>
        </w:rPr>
        <w:t xml:space="preserve"> because there will be more DMRS resources for these mini-slot-based PUSCHs</w:t>
      </w:r>
      <w:r>
        <w:rPr>
          <w:rFonts w:hint="eastAsia"/>
          <w:lang w:val="en-US" w:eastAsia="zh-CN"/>
        </w:rPr>
        <w:t xml:space="preserve"> and more </w:t>
      </w:r>
      <w:r>
        <w:rPr>
          <w:lang w:eastAsia="zh-CN"/>
        </w:rPr>
        <w:t>HARQ processes.</w:t>
      </w:r>
    </w:p>
    <w:p>
      <w:pPr>
        <w:spacing w:before="120" w:after="120"/>
        <w:jc w:val="both"/>
        <w:rPr>
          <w:rFonts w:eastAsia="等线"/>
          <w:lang w:eastAsia="zh-CN"/>
        </w:rPr>
      </w:pPr>
      <w:r>
        <w:rPr>
          <w:rFonts w:eastAsia="等线"/>
          <w:lang w:eastAsia="zh-CN"/>
        </w:rPr>
        <w:t xml:space="preserve">Option 2 can solve </w:t>
      </w:r>
      <w:r>
        <w:rPr>
          <w:rFonts w:hint="eastAsia" w:eastAsia="等线"/>
          <w:lang w:val="en-US" w:eastAsia="zh-CN"/>
        </w:rPr>
        <w:t>the above</w:t>
      </w:r>
      <w:r>
        <w:rPr>
          <w:rFonts w:eastAsia="等线"/>
          <w:lang w:eastAsia="zh-CN"/>
        </w:rPr>
        <w:t xml:space="preserve"> issue by </w:t>
      </w:r>
      <w:r>
        <w:rPr>
          <w:rFonts w:hint="eastAsia" w:eastAsia="等线"/>
          <w:lang w:val="en-US" w:eastAsia="zh-CN"/>
        </w:rPr>
        <w:t xml:space="preserve">using multi-TTI scheduling and/or </w:t>
      </w:r>
      <w:r>
        <w:rPr>
          <w:lang w:val="en-US" w:eastAsia="zh-CN"/>
        </w:rPr>
        <w:t>multiple</w:t>
      </w:r>
      <w:r>
        <w:rPr>
          <w:lang w:eastAsia="zh-CN"/>
        </w:rPr>
        <w:t xml:space="preserve"> candidate starting positions in one or multiple slot(s) are allowed for PUSCH</w:t>
      </w:r>
      <w:r>
        <w:rPr>
          <w:rFonts w:hint="eastAsia" w:eastAsia="等线"/>
          <w:lang w:val="en-US" w:eastAsia="zh-CN"/>
        </w:rPr>
        <w:t xml:space="preserve"> in one DCI, and UE can decide the transmission starting point based on CCA </w:t>
      </w:r>
      <w:r>
        <w:rPr>
          <w:rFonts w:eastAsia="等线"/>
          <w:lang w:val="en-US" w:eastAsia="zh-CN"/>
        </w:rPr>
        <w:t>outcome</w:t>
      </w:r>
      <w:r>
        <w:rPr>
          <w:rFonts w:eastAsia="等线"/>
          <w:lang w:eastAsia="zh-CN"/>
        </w:rPr>
        <w:t>.</w:t>
      </w:r>
      <w:r>
        <w:rPr>
          <w:rFonts w:hint="eastAsia" w:eastAsia="等线"/>
          <w:lang w:val="en-US" w:eastAsia="zh-CN"/>
        </w:rPr>
        <w:t xml:space="preserve"> Therefore, </w:t>
      </w:r>
      <w:r>
        <w:t xml:space="preserve">channel access </w:t>
      </w:r>
      <w:r>
        <w:rPr>
          <w:rFonts w:hint="eastAsia" w:eastAsia="宋体"/>
          <w:lang w:val="en-US" w:eastAsia="zh-CN"/>
        </w:rPr>
        <w:t xml:space="preserve">opportunities can be enhanced. </w:t>
      </w:r>
      <w:r>
        <w:rPr>
          <w:rFonts w:hint="eastAsia" w:eastAsia="等线"/>
          <w:lang w:val="en-US" w:eastAsia="zh-CN"/>
        </w:rPr>
        <w:t xml:space="preserve">Further, </w:t>
      </w:r>
      <w:r>
        <w:rPr>
          <w:lang w:val="en-US" w:eastAsia="zh-CN"/>
        </w:rPr>
        <w:t>multiple</w:t>
      </w:r>
      <w:r>
        <w:rPr>
          <w:lang w:eastAsia="zh-CN"/>
        </w:rPr>
        <w:t xml:space="preserve"> candidate </w:t>
      </w:r>
      <w:r>
        <w:rPr>
          <w:rFonts w:hint="eastAsia"/>
          <w:lang w:val="en-US" w:eastAsia="zh-CN"/>
        </w:rPr>
        <w:t>starting positions</w:t>
      </w:r>
      <w:r>
        <w:rPr>
          <w:lang w:eastAsia="zh-CN"/>
        </w:rPr>
        <w:t xml:space="preserve"> in one</w:t>
      </w:r>
      <w:r>
        <w:rPr>
          <w:rFonts w:hint="eastAsia"/>
          <w:lang w:val="en-US" w:eastAsia="zh-CN"/>
        </w:rPr>
        <w:t xml:space="preserve"> slot can be configured or indicated as illustrated in </w:t>
      </w:r>
      <w:r>
        <w:rPr>
          <w:lang w:val="en-US" w:eastAsia="zh-CN"/>
        </w:rPr>
        <w:t>F</w:t>
      </w:r>
      <w:r>
        <w:rPr>
          <w:rFonts w:hint="eastAsia"/>
          <w:lang w:val="en-US" w:eastAsia="zh-CN"/>
        </w:rPr>
        <w:t xml:space="preserve">igure 3. Comparing with </w:t>
      </w:r>
      <w:r>
        <w:rPr>
          <w:lang w:val="en-US" w:eastAsia="zh-CN"/>
        </w:rPr>
        <w:t>O</w:t>
      </w:r>
      <w:r>
        <w:rPr>
          <w:rFonts w:hint="eastAsia"/>
          <w:lang w:val="en-US" w:eastAsia="zh-CN"/>
        </w:rPr>
        <w:t>ption 1, the DCI overhead is relative</w:t>
      </w:r>
      <w:r>
        <w:rPr>
          <w:lang w:val="en-US" w:eastAsia="zh-CN"/>
        </w:rPr>
        <w:t>ly</w:t>
      </w:r>
      <w:r>
        <w:rPr>
          <w:rFonts w:hint="eastAsia"/>
          <w:lang w:val="en-US" w:eastAsia="zh-CN"/>
        </w:rPr>
        <w:t xml:space="preserve"> small. Besides, f</w:t>
      </w:r>
      <w:r>
        <w:rPr>
          <w:rFonts w:hint="eastAsia" w:eastAsia="MS Mincho"/>
          <w:lang w:val="en-US" w:eastAsia="zh-CN"/>
        </w:rPr>
        <w:t xml:space="preserve">or </w:t>
      </w:r>
      <w:r>
        <w:rPr>
          <w:rFonts w:eastAsia="MS Mincho"/>
          <w:lang w:val="en-US" w:eastAsia="zh-CN"/>
        </w:rPr>
        <w:t>O</w:t>
      </w:r>
      <w:r>
        <w:rPr>
          <w:rFonts w:hint="eastAsia" w:eastAsia="MS Mincho"/>
          <w:lang w:val="en-US" w:eastAsia="zh-CN"/>
        </w:rPr>
        <w:t>ption</w:t>
      </w:r>
      <w:r>
        <w:rPr>
          <w:rFonts w:eastAsia="MS Mincho"/>
          <w:lang w:val="en-US" w:eastAsia="zh-CN"/>
        </w:rPr>
        <w:t xml:space="preserve"> </w:t>
      </w:r>
      <w:r>
        <w:rPr>
          <w:rFonts w:hint="eastAsia" w:eastAsia="宋体"/>
          <w:lang w:val="en-US" w:eastAsia="zh-CN"/>
        </w:rPr>
        <w:t xml:space="preserve">2, symbol </w:t>
      </w:r>
      <w:r>
        <w:rPr>
          <w:rFonts w:eastAsia="宋体"/>
          <w:lang w:val="en-US" w:eastAsia="zh-CN"/>
        </w:rPr>
        <w:t>#</w:t>
      </w:r>
      <w:r>
        <w:rPr>
          <w:rFonts w:hint="eastAsia" w:eastAsia="宋体"/>
          <w:lang w:val="en-US" w:eastAsia="zh-CN"/>
        </w:rPr>
        <w:t>0,</w:t>
      </w:r>
      <w:r>
        <w:rPr>
          <w:rFonts w:eastAsia="宋体"/>
          <w:lang w:val="en-US" w:eastAsia="zh-CN"/>
        </w:rPr>
        <w:t xml:space="preserve"> #</w:t>
      </w:r>
      <w:r>
        <w:rPr>
          <w:rFonts w:hint="eastAsia" w:eastAsia="宋体"/>
          <w:lang w:val="en-US" w:eastAsia="zh-CN"/>
        </w:rPr>
        <w:t>1,</w:t>
      </w:r>
      <w:r>
        <w:rPr>
          <w:rFonts w:eastAsia="宋体"/>
          <w:lang w:val="en-US" w:eastAsia="zh-CN"/>
        </w:rPr>
        <w:t xml:space="preserve"> #</w:t>
      </w:r>
      <w:r>
        <w:rPr>
          <w:rFonts w:hint="eastAsia" w:eastAsia="宋体"/>
          <w:lang w:val="en-US" w:eastAsia="zh-CN"/>
        </w:rPr>
        <w:t>2,</w:t>
      </w:r>
      <w:r>
        <w:rPr>
          <w:rFonts w:eastAsia="宋体"/>
          <w:lang w:val="en-US" w:eastAsia="zh-CN"/>
        </w:rPr>
        <w:t xml:space="preserve"> #</w:t>
      </w:r>
      <w:r>
        <w:rPr>
          <w:rFonts w:hint="eastAsia" w:eastAsia="宋体"/>
          <w:lang w:val="en-US" w:eastAsia="zh-CN"/>
        </w:rPr>
        <w:t>3,</w:t>
      </w:r>
      <w:r>
        <w:rPr>
          <w:rFonts w:eastAsia="宋体"/>
          <w:lang w:val="en-US" w:eastAsia="zh-CN"/>
        </w:rPr>
        <w:t xml:space="preserve"> #</w:t>
      </w:r>
      <w:r>
        <w:rPr>
          <w:rFonts w:hint="eastAsia" w:eastAsia="宋体"/>
          <w:lang w:val="en-US" w:eastAsia="zh-CN"/>
        </w:rPr>
        <w:t>7,</w:t>
      </w:r>
      <w:r>
        <w:rPr>
          <w:rFonts w:eastAsia="宋体"/>
          <w:lang w:val="en-US" w:eastAsia="zh-CN"/>
        </w:rPr>
        <w:t xml:space="preserve"> #</w:t>
      </w:r>
      <w:r>
        <w:rPr>
          <w:rFonts w:hint="eastAsia" w:eastAsia="宋体"/>
          <w:lang w:val="en-US" w:eastAsia="zh-CN"/>
        </w:rPr>
        <w:t xml:space="preserve">10 can be considered as the PUSCH starting positions considering the DMRS position. Wherein, the UE only needs to prepare one PUSCH and </w:t>
      </w:r>
      <w:r>
        <w:t>punctures the P</w:t>
      </w:r>
      <w:r>
        <w:rPr>
          <w:rFonts w:hint="eastAsia" w:eastAsia="宋体"/>
          <w:lang w:val="en-US" w:eastAsia="zh-CN"/>
        </w:rPr>
        <w:t>U</w:t>
      </w:r>
      <w:r>
        <w:t>SCH symbols from the beginning</w:t>
      </w:r>
      <w:r>
        <w:rPr>
          <w:rFonts w:hint="eastAsia" w:eastAsia="宋体"/>
          <w:lang w:val="en-US" w:eastAsia="zh-CN"/>
        </w:rPr>
        <w:t xml:space="preserve"> of the slot based on the CCA </w:t>
      </w:r>
      <w:r>
        <w:rPr>
          <w:rFonts w:eastAsia="宋体"/>
          <w:lang w:val="en-US" w:eastAsia="zh-CN"/>
        </w:rPr>
        <w:t>outcome</w:t>
      </w:r>
      <w:r>
        <w:rPr>
          <w:rFonts w:hint="eastAsia" w:eastAsia="宋体"/>
          <w:lang w:val="en-US" w:eastAsia="zh-CN"/>
        </w:rPr>
        <w:t xml:space="preserve">. </w:t>
      </w:r>
      <w:r>
        <w:t>gNB</w:t>
      </w:r>
      <w:r>
        <w:rPr>
          <w:rFonts w:hint="eastAsia" w:eastAsia="宋体"/>
          <w:lang w:val="en-US" w:eastAsia="zh-CN"/>
        </w:rPr>
        <w:t xml:space="preserve"> </w:t>
      </w:r>
      <w:r>
        <w:rPr>
          <w:rFonts w:eastAsia="宋体"/>
          <w:lang w:val="en-US" w:eastAsia="zh-CN"/>
        </w:rPr>
        <w:t xml:space="preserve">would </w:t>
      </w:r>
      <w:r>
        <w:rPr>
          <w:rFonts w:hint="eastAsia" w:eastAsia="宋体"/>
          <w:lang w:val="en-US" w:eastAsia="zh-CN"/>
        </w:rPr>
        <w:t>detect</w:t>
      </w:r>
      <w:r>
        <w:rPr>
          <w:rFonts w:eastAsia="宋体"/>
          <w:lang w:val="en-US" w:eastAsia="zh-CN"/>
        </w:rPr>
        <w:t xml:space="preserve"> </w:t>
      </w:r>
      <w:r>
        <w:rPr>
          <w:rFonts w:hint="eastAsia" w:eastAsia="宋体"/>
          <w:lang w:val="en-US" w:eastAsia="zh-CN"/>
        </w:rPr>
        <w:t xml:space="preserve">the PUSCH by blind detection. </w:t>
      </w:r>
      <w:r>
        <w:rPr>
          <w:rFonts w:eastAsia="宋体"/>
          <w:lang w:val="en-US" w:eastAsia="zh-CN"/>
        </w:rPr>
        <w:t>T</w:t>
      </w:r>
      <w:r>
        <w:rPr>
          <w:rFonts w:hint="eastAsia" w:eastAsia="宋体"/>
          <w:lang w:val="en-US" w:eastAsia="zh-CN"/>
        </w:rPr>
        <w:t xml:space="preserve">he </w:t>
      </w:r>
      <w:r>
        <w:rPr>
          <w:lang w:eastAsia="zh-CN"/>
        </w:rPr>
        <w:t>symbol index</w:t>
      </w:r>
      <w:r>
        <w:rPr>
          <w:rFonts w:hint="eastAsia"/>
          <w:lang w:val="en-US" w:eastAsia="zh-CN"/>
        </w:rPr>
        <w:t xml:space="preserve"> of t</w:t>
      </w:r>
      <w:r>
        <w:rPr>
          <w:lang w:eastAsia="zh-CN"/>
        </w:rPr>
        <w:t xml:space="preserve">he scrambling sequence of DMRS </w:t>
      </w:r>
      <w:r>
        <w:rPr>
          <w:rFonts w:hint="eastAsia"/>
          <w:lang w:val="en-US" w:eastAsia="zh-CN"/>
        </w:rPr>
        <w:t>is fixed.</w:t>
      </w:r>
      <w:r>
        <w:rPr>
          <w:rFonts w:hint="eastAsia" w:eastAsia="等线"/>
          <w:lang w:eastAsia="zh-CN"/>
        </w:rPr>
        <w:tab/>
      </w:r>
    </w:p>
    <w:p>
      <w:pPr>
        <w:spacing w:before="120" w:after="120"/>
        <w:jc w:val="center"/>
        <w:rPr>
          <w:b/>
          <w:sz w:val="22"/>
          <w:szCs w:val="22"/>
        </w:rPr>
      </w:pPr>
      <w:bookmarkStart w:id="13" w:name="OLE_LINK9"/>
      <w:r>
        <w:rPr>
          <w:b/>
          <w:sz w:val="22"/>
          <w:szCs w:val="22"/>
        </w:rPr>
        <w:object>
          <v:shape id="_x0000_i1027" o:spt="75" type="#_x0000_t75" style="height:244.9pt;width:285.45pt;" o:ole="t" filled="f" o:preferrelative="t" stroked="f" coordsize="21600,21600">
            <v:path/>
            <v:fill on="f" focussize="0,0"/>
            <v:stroke on="f"/>
            <v:imagedata r:id="rId9" o:title=""/>
            <o:lock v:ext="edit" aspectratio="t"/>
            <w10:wrap type="none"/>
            <w10:anchorlock/>
          </v:shape>
          <o:OLEObject Type="Embed" ProgID="Visio.Drawing.11" ShapeID="_x0000_i1027" DrawAspect="Content" ObjectID="_1468075727" r:id="rId8">
            <o:LockedField>false</o:LockedField>
          </o:OLEObject>
        </w:object>
      </w:r>
      <w:bookmarkEnd w:id="13"/>
    </w:p>
    <w:p>
      <w:pPr>
        <w:spacing w:before="120" w:after="120"/>
        <w:jc w:val="center"/>
        <w:rPr>
          <w:rFonts w:eastAsia="宋体"/>
          <w:lang w:val="en-US" w:eastAsia="zh-CN"/>
        </w:rPr>
      </w:pPr>
      <w:r>
        <w:rPr>
          <w:rFonts w:eastAsia="宋体"/>
          <w:lang w:eastAsia="zh-CN"/>
        </w:rPr>
        <w:t xml:space="preserve">Figure </w:t>
      </w:r>
      <w:r>
        <w:rPr>
          <w:rFonts w:hint="eastAsia" w:eastAsia="宋体"/>
          <w:lang w:val="en-US" w:eastAsia="zh-CN"/>
        </w:rPr>
        <w:t xml:space="preserve">3 </w:t>
      </w:r>
      <w:r>
        <w:rPr>
          <w:rFonts w:eastAsia="宋体"/>
          <w:lang w:val="en-US" w:eastAsia="zh-CN"/>
        </w:rPr>
        <w:t xml:space="preserve">An </w:t>
      </w:r>
      <w:r>
        <w:rPr>
          <w:rFonts w:hint="eastAsia" w:eastAsia="宋体"/>
          <w:lang w:val="en-US" w:eastAsia="zh-CN"/>
        </w:rPr>
        <w:t xml:space="preserve">example for </w:t>
      </w:r>
      <w:r>
        <w:rPr>
          <w:rFonts w:eastAsia="宋体"/>
          <w:lang w:val="en-US" w:eastAsia="zh-CN"/>
        </w:rPr>
        <w:t>multiple</w:t>
      </w:r>
      <w:r>
        <w:rPr>
          <w:rFonts w:hint="eastAsia" w:eastAsia="宋体"/>
          <w:lang w:val="en-US" w:eastAsia="zh-CN"/>
        </w:rPr>
        <w:t xml:space="preserve"> candidate starting positions in one or multiple slot(s)</w:t>
      </w:r>
    </w:p>
    <w:p>
      <w:pPr>
        <w:jc w:val="both"/>
        <w:rPr>
          <w:rFonts w:eastAsia="MS Mincho"/>
          <w:i/>
          <w:iCs/>
          <w:lang w:val="en-US" w:eastAsia="zh-CN"/>
        </w:rPr>
      </w:pPr>
      <w:r>
        <w:rPr>
          <w:rFonts w:eastAsia="宋体"/>
          <w:b/>
          <w:lang w:eastAsia="zh-CN"/>
        </w:rPr>
        <w:t xml:space="preserve">Proposal </w:t>
      </w:r>
      <w:r>
        <w:rPr>
          <w:rFonts w:hint="eastAsia" w:eastAsia="宋体"/>
          <w:b/>
          <w:lang w:val="en-US" w:eastAsia="zh-CN"/>
        </w:rPr>
        <w:t>5</w:t>
      </w:r>
      <w:r>
        <w:rPr>
          <w:rFonts w:eastAsia="宋体"/>
          <w:b/>
          <w:lang w:eastAsia="zh-CN"/>
        </w:rPr>
        <w:t>:</w:t>
      </w:r>
      <w:r>
        <w:rPr>
          <w:rFonts w:hint="eastAsia" w:eastAsia="宋体"/>
          <w:b/>
          <w:lang w:val="en-US" w:eastAsia="zh-CN"/>
        </w:rPr>
        <w:t xml:space="preserve"> </w:t>
      </w:r>
      <w:r>
        <w:rPr>
          <w:rFonts w:eastAsia="宋体"/>
          <w:i/>
          <w:iCs/>
          <w:lang w:val="en-US" w:eastAsia="zh-CN"/>
        </w:rPr>
        <w:t>Multiple</w:t>
      </w:r>
      <w:r>
        <w:rPr>
          <w:rFonts w:eastAsia="MS Mincho"/>
          <w:i/>
          <w:iCs/>
          <w:lang w:eastAsia="ko-KR"/>
        </w:rPr>
        <w:t xml:space="preserve"> </w:t>
      </w:r>
      <w:r>
        <w:rPr>
          <w:rFonts w:hint="eastAsia" w:eastAsia="宋体"/>
          <w:i/>
          <w:iCs/>
          <w:lang w:val="en-US" w:eastAsia="zh-CN"/>
        </w:rPr>
        <w:t xml:space="preserve">candidate </w:t>
      </w:r>
      <w:r>
        <w:rPr>
          <w:rFonts w:eastAsia="MS Mincho"/>
          <w:i/>
          <w:iCs/>
          <w:lang w:eastAsia="ko-KR"/>
        </w:rPr>
        <w:t xml:space="preserve">PUSCH starting positions in a single UL grant </w:t>
      </w:r>
      <w:r>
        <w:rPr>
          <w:rFonts w:eastAsia="宋体"/>
          <w:i/>
          <w:iCs/>
          <w:lang w:val="en-US" w:eastAsia="zh-CN"/>
        </w:rPr>
        <w:t xml:space="preserve">can be </w:t>
      </w:r>
      <w:r>
        <w:rPr>
          <w:rFonts w:eastAsia="MS Mincho"/>
          <w:i/>
          <w:iCs/>
          <w:lang w:eastAsia="ko-KR"/>
        </w:rPr>
        <w:t>supported</w:t>
      </w:r>
      <w:r>
        <w:rPr>
          <w:rFonts w:hint="eastAsia" w:eastAsia="宋体"/>
          <w:i/>
          <w:iCs/>
          <w:lang w:val="en-US" w:eastAsia="zh-CN"/>
        </w:rPr>
        <w:t xml:space="preserve"> in one slot, such as symbol </w:t>
      </w:r>
      <w:r>
        <w:rPr>
          <w:rFonts w:eastAsia="宋体"/>
          <w:i/>
          <w:iCs/>
          <w:lang w:val="en-US" w:eastAsia="zh-CN"/>
        </w:rPr>
        <w:t>#</w:t>
      </w:r>
      <w:r>
        <w:rPr>
          <w:rFonts w:hint="eastAsia" w:eastAsia="宋体"/>
          <w:i/>
          <w:iCs/>
          <w:lang w:val="en-US" w:eastAsia="zh-CN"/>
        </w:rPr>
        <w:t>0,</w:t>
      </w:r>
      <w:r>
        <w:rPr>
          <w:rFonts w:eastAsia="宋体"/>
          <w:i/>
          <w:iCs/>
          <w:lang w:val="en-US" w:eastAsia="zh-CN"/>
        </w:rPr>
        <w:t xml:space="preserve"> #</w:t>
      </w:r>
      <w:r>
        <w:rPr>
          <w:rFonts w:hint="eastAsia" w:eastAsia="宋体"/>
          <w:i/>
          <w:iCs/>
          <w:lang w:val="en-US" w:eastAsia="zh-CN"/>
        </w:rPr>
        <w:t>1,</w:t>
      </w:r>
      <w:r>
        <w:rPr>
          <w:rFonts w:eastAsia="宋体"/>
          <w:i/>
          <w:iCs/>
          <w:lang w:val="en-US" w:eastAsia="zh-CN"/>
        </w:rPr>
        <w:t xml:space="preserve"> #</w:t>
      </w:r>
      <w:r>
        <w:rPr>
          <w:rFonts w:hint="eastAsia" w:eastAsia="宋体"/>
          <w:i/>
          <w:iCs/>
          <w:lang w:val="en-US" w:eastAsia="zh-CN"/>
        </w:rPr>
        <w:t>2,</w:t>
      </w:r>
      <w:r>
        <w:rPr>
          <w:rFonts w:eastAsia="宋体"/>
          <w:i/>
          <w:iCs/>
          <w:lang w:val="en-US" w:eastAsia="zh-CN"/>
        </w:rPr>
        <w:t xml:space="preserve"> #</w:t>
      </w:r>
      <w:r>
        <w:rPr>
          <w:rFonts w:hint="eastAsia" w:eastAsia="宋体"/>
          <w:i/>
          <w:iCs/>
          <w:lang w:val="en-US" w:eastAsia="zh-CN"/>
        </w:rPr>
        <w:t>3,</w:t>
      </w:r>
      <w:r>
        <w:rPr>
          <w:rFonts w:eastAsia="宋体"/>
          <w:i/>
          <w:iCs/>
          <w:lang w:val="en-US" w:eastAsia="zh-CN"/>
        </w:rPr>
        <w:t xml:space="preserve"> #</w:t>
      </w:r>
      <w:r>
        <w:rPr>
          <w:rFonts w:hint="eastAsia" w:eastAsia="宋体"/>
          <w:i/>
          <w:iCs/>
          <w:lang w:val="en-US" w:eastAsia="zh-CN"/>
        </w:rPr>
        <w:t>7,</w:t>
      </w:r>
      <w:r>
        <w:rPr>
          <w:rFonts w:eastAsia="宋体"/>
          <w:i/>
          <w:iCs/>
          <w:lang w:val="en-US" w:eastAsia="zh-CN"/>
        </w:rPr>
        <w:t xml:space="preserve"> #</w:t>
      </w:r>
      <w:r>
        <w:rPr>
          <w:rFonts w:hint="eastAsia" w:eastAsia="宋体"/>
          <w:i/>
          <w:iCs/>
          <w:lang w:val="en-US" w:eastAsia="zh-CN"/>
        </w:rPr>
        <w:t>10</w:t>
      </w:r>
      <w:r>
        <w:rPr>
          <w:rFonts w:eastAsia="宋体"/>
          <w:i/>
          <w:iCs/>
          <w:lang w:val="en-US" w:eastAsia="zh-CN"/>
        </w:rPr>
        <w:t xml:space="preserve">. </w:t>
      </w:r>
    </w:p>
    <w:p>
      <w:pPr>
        <w:pStyle w:val="4"/>
        <w:tabs>
          <w:tab w:val="left" w:pos="450"/>
        </w:tabs>
        <w:spacing w:before="200" w:after="180" w:line="260" w:lineRule="auto"/>
        <w:ind w:left="567" w:hanging="567"/>
        <w:rPr>
          <w:rFonts w:cs="Times New Roman"/>
          <w:b/>
          <w:iCs w:val="0"/>
          <w:color w:val="000000"/>
          <w:sz w:val="21"/>
          <w:szCs w:val="21"/>
          <w:lang w:val="en-US" w:eastAsia="zh-CN"/>
        </w:rPr>
      </w:pPr>
      <w:bookmarkStart w:id="14" w:name="_Toc535588814"/>
      <w:r>
        <w:rPr>
          <w:rFonts w:hint="eastAsia" w:cs="Times New Roman"/>
          <w:b/>
          <w:iCs w:val="0"/>
          <w:color w:val="000000"/>
          <w:sz w:val="21"/>
          <w:szCs w:val="21"/>
          <w:lang w:val="en-US" w:eastAsia="zh-CN"/>
        </w:rPr>
        <w:t xml:space="preserve">PUSCH resource allocation in frequency domain </w:t>
      </w:r>
      <w:bookmarkEnd w:id="14"/>
    </w:p>
    <w:p>
      <w:pPr>
        <w:pStyle w:val="130"/>
        <w:numPr>
          <w:ilvl w:val="0"/>
          <w:numId w:val="0"/>
        </w:numPr>
        <w:jc w:val="both"/>
        <w:rPr>
          <w:rFonts w:hint="eastAsia" w:eastAsia="宋体"/>
          <w:bCs/>
          <w:lang w:val="en-US" w:eastAsia="zh-CN"/>
        </w:rPr>
      </w:pPr>
      <w:r>
        <w:rPr>
          <w:rFonts w:hint="eastAsia" w:eastAsia="宋体"/>
          <w:bCs/>
          <w:lang w:val="en-US" w:eastAsia="zh-CN"/>
        </w:rPr>
        <w:t xml:space="preserve">In RAN1 #98 meeting, the working assumption </w:t>
      </w:r>
      <w:r>
        <w:rPr>
          <w:rFonts w:hint="default" w:eastAsia="宋体"/>
          <w:bCs/>
          <w:lang w:val="en-US" w:eastAsia="zh-CN"/>
        </w:rPr>
        <w:t>“</w:t>
      </w:r>
      <w:r>
        <w:rPr>
          <w:rFonts w:cs="Times"/>
          <w:lang w:eastAsia="zh-CN"/>
        </w:rPr>
        <w:t>For 15 kHz SCS, M = 10 interlaces and for 30 kHz SCS, M = 5 interlaces for all bandwidths</w:t>
      </w:r>
      <w:r>
        <w:rPr>
          <w:rFonts w:hint="default" w:eastAsia="宋体"/>
          <w:bCs/>
          <w:lang w:val="en-US" w:eastAsia="zh-CN"/>
        </w:rPr>
        <w:t>”</w:t>
      </w:r>
      <w:r>
        <w:rPr>
          <w:rFonts w:hint="eastAsia" w:eastAsia="宋体"/>
          <w:bCs/>
          <w:lang w:val="en-US" w:eastAsia="zh-CN"/>
        </w:rPr>
        <w:t xml:space="preserve"> in #AH1901 was confirmed. Thus the number of interlaces for all bandwidths </w:t>
      </w:r>
      <w:r>
        <w:rPr>
          <w:rFonts w:hint="eastAsia"/>
          <w:bCs/>
          <w:lang w:val="en-US" w:eastAsia="zh-CN"/>
        </w:rPr>
        <w:t>is at most</w:t>
      </w:r>
      <w:r>
        <w:rPr>
          <w:rFonts w:hint="eastAsia" w:eastAsia="宋体"/>
          <w:bCs/>
          <w:lang w:val="en-US" w:eastAsia="zh-CN"/>
        </w:rPr>
        <w:t xml:space="preserve"> 10. For Alt-1, 10 bits are enough to indicate all possible interlace combinations. For Alt-2, which is similar to uplink resource allocation type 3</w:t>
      </w:r>
      <w:r>
        <w:rPr>
          <w:rFonts w:hint="eastAsia"/>
          <w:bCs/>
          <w:lang w:val="en-US" w:eastAsia="zh-CN"/>
        </w:rPr>
        <w:t xml:space="preserve"> in LTE eLAA</w:t>
      </w:r>
      <w:r>
        <w:rPr>
          <w:rFonts w:hint="eastAsia" w:eastAsia="宋体"/>
          <w:bCs/>
          <w:lang w:val="en-US" w:eastAsia="zh-CN"/>
        </w:rPr>
        <w:t>, but for the predefined interlace combinations, there are mainly two different schemes. Some sources proposed a new interlace combinations, and other sources proposed to use the same  predefined interlace combinations as in LTE eLAA. In our understanding, the predefined interlace combinations c</w:t>
      </w:r>
      <w:r>
        <w:rPr>
          <w:rFonts w:hint="eastAsia"/>
          <w:bCs/>
          <w:lang w:val="en-US" w:eastAsia="zh-CN"/>
        </w:rPr>
        <w:t>an</w:t>
      </w:r>
      <w:r>
        <w:rPr>
          <w:rFonts w:hint="eastAsia" w:eastAsia="宋体"/>
          <w:bCs/>
          <w:lang w:val="en-US" w:eastAsia="zh-CN"/>
        </w:rPr>
        <w:t xml:space="preserve"> </w:t>
      </w:r>
      <w:r>
        <w:rPr>
          <w:rFonts w:hint="eastAsia"/>
          <w:bCs/>
          <w:lang w:val="en-US" w:eastAsia="zh-CN"/>
        </w:rPr>
        <w:t xml:space="preserve">also </w:t>
      </w:r>
      <w:r>
        <w:rPr>
          <w:rFonts w:hint="eastAsia" w:eastAsia="宋体"/>
          <w:bCs/>
          <w:lang w:val="en-US" w:eastAsia="zh-CN"/>
        </w:rPr>
        <w:t>be spec-transparent by using bitmap scheme. Moreover, the types of resource allocation are consistent for 30kHz SCS and 15kHz SCS.</w:t>
      </w:r>
    </w:p>
    <w:p>
      <w:pPr>
        <w:pStyle w:val="130"/>
        <w:numPr>
          <w:ilvl w:val="0"/>
          <w:numId w:val="0"/>
        </w:numPr>
        <w:jc w:val="both"/>
        <w:rPr>
          <w:rFonts w:hint="eastAsia" w:eastAsia="宋体"/>
          <w:bCs/>
          <w:lang w:val="en-US" w:eastAsia="zh-CN"/>
        </w:rPr>
      </w:pPr>
      <w:r>
        <w:rPr>
          <w:rFonts w:hint="eastAsia"/>
          <w:bCs/>
          <w:lang w:val="en-US" w:eastAsia="zh-CN"/>
        </w:rPr>
        <w:t xml:space="preserve">Considering there are 4 bits can be saved for Alt-2, and the unused RIVs can be used to indicate some predefined interlace combinations. From this perspective, Alt-2 with the same interlace combinations as in LTE eLAA can be supported. </w:t>
      </w:r>
    </w:p>
    <w:p>
      <w:pPr>
        <w:pStyle w:val="130"/>
        <w:numPr>
          <w:ilvl w:val="0"/>
          <w:numId w:val="0"/>
        </w:numPr>
        <w:jc w:val="both"/>
        <w:rPr>
          <w:rFonts w:hint="eastAsia" w:eastAsia="宋体"/>
          <w:bCs/>
          <w:lang w:val="en-US" w:eastAsia="zh-CN"/>
        </w:rPr>
      </w:pPr>
      <w:r>
        <w:rPr>
          <w:rFonts w:hint="eastAsia"/>
          <w:bCs/>
          <w:lang w:val="en-US" w:eastAsia="zh-CN"/>
        </w:rPr>
        <w:t xml:space="preserve">To sum up, we prefer Alt-2 with the same interlace combinations as in LTE eLAA. And if the agreement about the predefined </w:t>
      </w:r>
      <w:r>
        <w:rPr>
          <w:rFonts w:hint="eastAsia" w:eastAsia="宋体"/>
          <w:bCs/>
          <w:i w:val="0"/>
          <w:iCs w:val="0"/>
          <w:lang w:val="en-US" w:eastAsia="zh-CN"/>
        </w:rPr>
        <w:t>interlace combination</w:t>
      </w:r>
      <w:r>
        <w:rPr>
          <w:rFonts w:hint="eastAsia"/>
          <w:bCs/>
          <w:i w:val="0"/>
          <w:iCs w:val="0"/>
          <w:lang w:val="en-US" w:eastAsia="zh-CN"/>
        </w:rPr>
        <w:t xml:space="preserve"> </w:t>
      </w:r>
      <w:r>
        <w:rPr>
          <w:rFonts w:hint="eastAsia"/>
          <w:bCs/>
          <w:lang w:val="en-US" w:eastAsia="zh-CN"/>
        </w:rPr>
        <w:t>can</w:t>
      </w:r>
      <w:r>
        <w:rPr>
          <w:rFonts w:hint="default"/>
          <w:bCs/>
          <w:lang w:val="en-US" w:eastAsia="zh-CN"/>
        </w:rPr>
        <w:t>’</w:t>
      </w:r>
      <w:r>
        <w:rPr>
          <w:rFonts w:hint="eastAsia"/>
          <w:bCs/>
          <w:lang w:val="en-US" w:eastAsia="zh-CN"/>
        </w:rPr>
        <w:t>t be reached, we suggest Alt-1 can be supported.</w:t>
      </w:r>
    </w:p>
    <w:p>
      <w:pPr>
        <w:numPr>
          <w:ilvl w:val="-1"/>
          <w:numId w:val="0"/>
        </w:numPr>
        <w:ind w:left="0" w:firstLine="0"/>
        <w:jc w:val="both"/>
        <w:rPr>
          <w:rFonts w:eastAsia="宋体"/>
          <w:bCs/>
          <w:i/>
          <w:iCs/>
          <w:lang w:val="en-US" w:eastAsia="zh-CN"/>
        </w:rPr>
      </w:pPr>
      <w:bookmarkStart w:id="15" w:name="OLE_LINK8"/>
      <w:r>
        <w:rPr>
          <w:rFonts w:eastAsia="宋体"/>
          <w:b/>
          <w:lang w:eastAsia="zh-CN"/>
        </w:rPr>
        <w:t xml:space="preserve">Proposal </w:t>
      </w:r>
      <w:r>
        <w:rPr>
          <w:rFonts w:hint="eastAsia" w:eastAsia="宋体"/>
          <w:b/>
          <w:lang w:val="en-US" w:eastAsia="zh-CN"/>
        </w:rPr>
        <w:t>6</w:t>
      </w:r>
      <w:r>
        <w:rPr>
          <w:rFonts w:eastAsia="宋体"/>
          <w:b/>
          <w:lang w:eastAsia="zh-CN"/>
        </w:rPr>
        <w:t xml:space="preserve">: </w:t>
      </w:r>
      <w:r>
        <w:rPr>
          <w:rFonts w:hint="eastAsia" w:eastAsia="宋体"/>
          <w:i/>
          <w:iCs/>
          <w:lang w:val="en-US" w:eastAsia="zh-CN"/>
        </w:rPr>
        <w:t xml:space="preserve">For PUSCH resource allocation in frequency domain, </w:t>
      </w:r>
      <w:r>
        <w:rPr>
          <w:rFonts w:hint="eastAsia" w:eastAsia="宋体"/>
          <w:bCs/>
          <w:i/>
          <w:iCs/>
          <w:lang w:val="en-US" w:eastAsia="zh-CN"/>
        </w:rPr>
        <w:t xml:space="preserve">the scheme of Alt-2 with the same interlace combinations as in LTE eLAA should be supported. </w:t>
      </w:r>
    </w:p>
    <w:bookmarkEnd w:id="15"/>
    <w:p>
      <w:pPr>
        <w:pStyle w:val="3"/>
        <w:jc w:val="both"/>
        <w:rPr>
          <w:rFonts w:eastAsia="宋体" w:cs="Arial"/>
          <w:b/>
          <w:sz w:val="24"/>
          <w:szCs w:val="24"/>
          <w:lang w:val="en-US" w:eastAsia="zh-CN"/>
        </w:rPr>
      </w:pPr>
      <w:r>
        <w:rPr>
          <w:rFonts w:hint="eastAsia" w:eastAsia="宋体" w:cs="Arial"/>
          <w:b/>
          <w:sz w:val="24"/>
          <w:szCs w:val="24"/>
          <w:lang w:val="en-US" w:eastAsia="zh-CN"/>
        </w:rPr>
        <w:t>PUCCH</w:t>
      </w:r>
    </w:p>
    <w:p>
      <w:pPr>
        <w:pStyle w:val="4"/>
        <w:tabs>
          <w:tab w:val="left" w:pos="450"/>
        </w:tabs>
        <w:spacing w:before="200" w:after="180" w:line="260" w:lineRule="auto"/>
        <w:ind w:left="567" w:hanging="567"/>
        <w:rPr>
          <w:rFonts w:hint="default" w:cs="Times New Roman"/>
          <w:b/>
          <w:color w:val="000000"/>
          <w:sz w:val="21"/>
          <w:szCs w:val="21"/>
          <w:lang w:val="en-US" w:eastAsia="zh-CN"/>
        </w:rPr>
      </w:pPr>
      <w:r>
        <w:rPr>
          <w:rFonts w:hint="default" w:cs="Times New Roman"/>
          <w:b/>
          <w:color w:val="000000"/>
          <w:sz w:val="21"/>
          <w:szCs w:val="21"/>
          <w:lang w:val="en-US" w:eastAsia="zh-CN"/>
        </w:rPr>
        <w:t xml:space="preserve">Alt-1a for </w:t>
      </w:r>
      <w:r>
        <w:rPr>
          <w:rFonts w:hint="default" w:eastAsia="Times New Roman" w:cs="Times New Roman"/>
          <w:b/>
          <w:color w:val="000000"/>
          <w:sz w:val="21"/>
          <w:szCs w:val="21"/>
          <w:lang w:val="en-US" w:eastAsia="zh-CN"/>
        </w:rPr>
        <w:t>E</w:t>
      </w:r>
      <w:r>
        <w:rPr>
          <w:rFonts w:cs="Times New Roman"/>
          <w:b/>
          <w:color w:val="000000"/>
          <w:sz w:val="21"/>
          <w:szCs w:val="21"/>
          <w:lang w:val="en-US" w:eastAsia="zh-CN"/>
        </w:rPr>
        <w:t>nhancement of Rel-15 PUCCH formats PF0 and PF1</w:t>
      </w:r>
      <w:r>
        <w:rPr>
          <w:rFonts w:hint="default" w:eastAsia="Times New Roman" w:cs="Times New Roman"/>
          <w:b/>
          <w:color w:val="000000"/>
          <w:sz w:val="21"/>
          <w:szCs w:val="21"/>
          <w:lang w:val="en-US" w:eastAsia="zh-CN"/>
        </w:rPr>
        <w:t xml:space="preserve"> </w:t>
      </w:r>
    </w:p>
    <w:p>
      <w:pPr>
        <w:tabs>
          <w:tab w:val="center" w:pos="4702"/>
        </w:tabs>
        <w:jc w:val="both"/>
        <w:rPr>
          <w:rFonts w:hint="eastAsia"/>
          <w:sz w:val="20"/>
          <w:szCs w:val="20"/>
          <w:lang w:val="en-US" w:eastAsia="zh-CN"/>
        </w:rPr>
      </w:pPr>
      <w:r>
        <w:rPr>
          <w:rFonts w:hint="eastAsia" w:eastAsia="宋体"/>
          <w:sz w:val="20"/>
          <w:szCs w:val="20"/>
          <w:lang w:val="en-US" w:eastAsia="zh-CN"/>
        </w:rPr>
        <w:t>In RAN1 #98 meeting, for the enhancement of PUCCH format 0 and PUCCH format 1, Alt-1a:</w:t>
      </w:r>
      <w:r>
        <w:t xml:space="preserve">Cycling of cyclic shifts across PRBs </w:t>
      </w:r>
      <w:r>
        <w:rPr>
          <w:rFonts w:hint="eastAsia" w:eastAsia="宋体"/>
          <w:lang w:val="en-US" w:eastAsia="zh-CN"/>
        </w:rPr>
        <w:t xml:space="preserve">was supported. And the </w:t>
      </w:r>
      <w:r>
        <w:t>Cyclic shift ordering</w:t>
      </w:r>
      <w:r>
        <w:rPr>
          <w:rFonts w:hint="eastAsia" w:eastAsia="宋体"/>
          <w:lang w:val="en-US" w:eastAsia="zh-CN"/>
        </w:rPr>
        <w:t xml:space="preserve"> is FFS. In this section, we discuss the order of the cyclic shifts for each PRB in one interlace.</w:t>
      </w:r>
    </w:p>
    <w:p>
      <w:pPr>
        <w:tabs>
          <w:tab w:val="center" w:pos="4702"/>
        </w:tabs>
        <w:jc w:val="both"/>
        <w:rPr>
          <w:rFonts w:hint="eastAsia" w:eastAsia="宋体"/>
          <w:lang w:val="en-US" w:eastAsia="zh-CN"/>
        </w:rPr>
      </w:pPr>
      <w:r>
        <w:rPr>
          <w:rFonts w:hint="eastAsia"/>
          <w:lang w:val="en-US" w:eastAsia="zh-CN"/>
        </w:rPr>
        <w:t xml:space="preserve">Considering the interlace structure, there are 10/11PRBs in one interlace, at least 10 or 11 cyclic shifts need to be determined. And the added cyclic shifts for each PRB should be chosen carefully, or the CM/PAPR will be too high. </w:t>
      </w:r>
      <w:r>
        <w:rPr>
          <w:rFonts w:hint="eastAsia" w:eastAsia="宋体"/>
          <w:lang w:val="en-US" w:eastAsia="zh-CN"/>
        </w:rPr>
        <w:t xml:space="preserve">In our contribution[2] in RAN1 #98 meeting, for Alt-1a, we provide the optimum cyclic shift combinations for each base sequence in a table. In order to reduce the specification complexity, we can select one cyclic shift combinations from the optimum cyclic shift combinations for all the 30 base sequences. Here,“optimum” denotes each base sequence using their own optimum cyclic shifts combinations. </w:t>
      </w:r>
    </w:p>
    <w:p>
      <w:pPr>
        <w:tabs>
          <w:tab w:val="center" w:pos="4702"/>
        </w:tabs>
        <w:jc w:val="both"/>
        <w:rPr>
          <w:rFonts w:hint="eastAsia" w:eastAsia="宋体"/>
          <w:lang w:val="en-US" w:eastAsia="zh-CN"/>
        </w:rPr>
      </w:pPr>
      <w:r>
        <w:rPr>
          <w:rFonts w:hint="eastAsia" w:eastAsia="宋体"/>
          <w:lang w:val="en-US" w:eastAsia="zh-CN"/>
        </w:rPr>
        <w:t>Besides, it is mentioned in the contribution of other company at the last meeting that for PF0 combining the order of the cyclic shifts with SR to increase the user multiplexing capability. The essence of this scheme is using a long sequence with different combinations and permutations of cyclic shifts, but some cyclic shifts are the same for same PRBs. Although the CM of this scheme is acceptable, the sequences for different sates of HARQ and SR are not orthogonal. And the cross correlation coefficient is high. Therefore, its the detection performance is not clear, and the MCL may be lower. Furthermore, the specification complexity of introducing SR to the cyclic shift and PRB index is increased comparing with the method of only adding PRB index to the cyclic shift for each PRB of one interlace.</w:t>
      </w:r>
    </w:p>
    <w:p>
      <w:pPr>
        <w:tabs>
          <w:tab w:val="center" w:pos="4702"/>
        </w:tabs>
        <w:jc w:val="both"/>
        <w:rPr>
          <w:rFonts w:hint="eastAsia" w:eastAsia="宋体"/>
          <w:lang w:val="en-US" w:eastAsia="zh-CN"/>
        </w:rPr>
      </w:pPr>
      <w:r>
        <w:rPr>
          <w:rFonts w:hint="eastAsia" w:eastAsia="宋体"/>
          <w:lang w:val="en-US" w:eastAsia="zh-CN"/>
        </w:rPr>
        <w:t xml:space="preserve">Based on the analysis above, the method of only adding PRB index to the cyclic shift for each PRB of one interlace should be supported. Further, for the order of the cyclic shifts, we also provide a simulation result on the CM values for different cyclic shifts order and/or step sizes in Figure 4, wherein, default step size is 1 for descending and ascending. It can be seen in Figure 4 that the CM values of different methods are close, and the largest distinction is about 0.5dB. For </w:t>
      </w:r>
      <w:r>
        <w:rPr>
          <w:rFonts w:hint="default" w:eastAsia="宋体"/>
          <w:lang w:val="en-US" w:eastAsia="zh-CN"/>
        </w:rPr>
        <w:t>“</w:t>
      </w:r>
      <w:r>
        <w:rPr>
          <w:rFonts w:hint="eastAsia" w:eastAsia="宋体"/>
          <w:lang w:val="en-US" w:eastAsia="zh-CN"/>
        </w:rPr>
        <w:t>optimum</w:t>
      </w:r>
      <w:r>
        <w:rPr>
          <w:rFonts w:hint="default" w:eastAsia="宋体"/>
          <w:lang w:val="en-US" w:eastAsia="zh-CN"/>
        </w:rPr>
        <w:t>”</w:t>
      </w:r>
      <w:r>
        <w:rPr>
          <w:rFonts w:hint="eastAsia" w:eastAsia="宋体"/>
          <w:lang w:val="en-US" w:eastAsia="zh-CN"/>
        </w:rPr>
        <w:t>, the complexity is a little high. The order of ascending (the yellow curve) and descending (the orange curve) are almost the same. Considering the performance and specification complexity, the order of descending and ascending can be considered.</w:t>
      </w:r>
    </w:p>
    <w:p>
      <w:pPr>
        <w:tabs>
          <w:tab w:val="center" w:pos="4702"/>
        </w:tabs>
        <w:jc w:val="center"/>
      </w:pPr>
      <w:r>
        <w:drawing>
          <wp:inline distT="0" distB="0" distL="114300" distR="114300">
            <wp:extent cx="4572000" cy="2743200"/>
            <wp:effectExtent l="4445" t="4445" r="8255" b="825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tabs>
          <w:tab w:val="center" w:pos="4702"/>
        </w:tabs>
        <w:jc w:val="center"/>
        <w:rPr>
          <w:rFonts w:hint="eastAsia" w:eastAsia="宋体"/>
          <w:lang w:val="en-US" w:eastAsia="zh-CN"/>
        </w:rPr>
      </w:pPr>
      <w:r>
        <w:rPr>
          <w:rFonts w:hint="eastAsia" w:eastAsia="宋体"/>
          <w:lang w:val="en-US" w:eastAsia="zh-CN"/>
        </w:rPr>
        <w:t>Figure 4. CM for different cyclic shifts order</w:t>
      </w:r>
    </w:p>
    <w:p>
      <w:pPr>
        <w:jc w:val="both"/>
        <w:rPr>
          <w:rFonts w:hint="eastAsia" w:eastAsia="宋体"/>
          <w:i w:val="0"/>
          <w:iCs w:val="0"/>
          <w:lang w:val="en-US" w:eastAsia="zh-CN"/>
        </w:rPr>
      </w:pPr>
      <w:r>
        <w:rPr>
          <w:rFonts w:eastAsia="宋体"/>
          <w:b/>
          <w:lang w:eastAsia="zh-CN"/>
        </w:rPr>
        <w:t xml:space="preserve">Proposal </w:t>
      </w:r>
      <w:r>
        <w:rPr>
          <w:rFonts w:hint="eastAsia" w:eastAsia="宋体"/>
          <w:b/>
          <w:lang w:val="en-US" w:eastAsia="zh-CN"/>
        </w:rPr>
        <w:t>7</w:t>
      </w:r>
      <w:r>
        <w:rPr>
          <w:rFonts w:eastAsia="宋体"/>
          <w:b/>
          <w:lang w:eastAsia="zh-CN"/>
        </w:rPr>
        <w:t xml:space="preserve">: </w:t>
      </w:r>
      <w:r>
        <w:rPr>
          <w:rFonts w:hint="eastAsia" w:eastAsia="宋体"/>
          <w:i/>
          <w:iCs/>
          <w:lang w:val="en-US" w:eastAsia="zh-CN"/>
        </w:rPr>
        <w:t>For cycling of cyclic shifts across PRBs of one interlace, the order of descending or ascending can be considered considering the performance and specification complexity.</w:t>
      </w:r>
    </w:p>
    <w:p>
      <w:pPr>
        <w:pStyle w:val="4"/>
        <w:tabs>
          <w:tab w:val="left" w:pos="450"/>
        </w:tabs>
        <w:spacing w:before="200" w:after="180" w:line="260" w:lineRule="auto"/>
        <w:ind w:left="567" w:hanging="567"/>
        <w:rPr>
          <w:rFonts w:hint="default" w:cs="Times New Roman"/>
          <w:b/>
          <w:color w:val="000000"/>
          <w:sz w:val="21"/>
          <w:szCs w:val="21"/>
          <w:lang w:val="en-US" w:eastAsia="zh-CN"/>
        </w:rPr>
      </w:pPr>
      <w:r>
        <w:rPr>
          <w:rFonts w:cs="Times New Roman"/>
          <w:b/>
          <w:color w:val="000000"/>
          <w:sz w:val="21"/>
          <w:szCs w:val="21"/>
          <w:lang w:val="en-US" w:eastAsia="zh-CN"/>
        </w:rPr>
        <w:t xml:space="preserve">PUCCH </w:t>
      </w:r>
      <w:r>
        <w:rPr>
          <w:rFonts w:hint="eastAsia" w:cs="Times New Roman"/>
          <w:b/>
          <w:color w:val="000000"/>
          <w:sz w:val="21"/>
          <w:szCs w:val="21"/>
          <w:lang w:val="en-US" w:eastAsia="zh-CN"/>
        </w:rPr>
        <w:t>bandwidth and structure</w:t>
      </w:r>
    </w:p>
    <w:p>
      <w:pPr>
        <w:pStyle w:val="16"/>
        <w:overflowPunct w:val="0"/>
        <w:autoSpaceDE w:val="0"/>
        <w:autoSpaceDN w:val="0"/>
        <w:adjustRightInd w:val="0"/>
        <w:spacing w:after="0" w:line="259" w:lineRule="auto"/>
        <w:jc w:val="both"/>
        <w:textAlignment w:val="baseline"/>
        <w:rPr>
          <w:rFonts w:hint="eastAsia"/>
          <w:lang w:val="en-US" w:eastAsia="zh-CN"/>
        </w:rPr>
      </w:pPr>
      <w:r>
        <w:rPr>
          <w:rFonts w:hint="eastAsia" w:eastAsia="宋体"/>
          <w:lang w:val="en-US" w:eastAsia="zh-CN"/>
        </w:rPr>
        <w:t xml:space="preserve">It was agreed in RAN1 #98 meeting that </w:t>
      </w:r>
      <w:r>
        <w:rPr>
          <w:rFonts w:hint="default" w:eastAsia="宋体"/>
          <w:lang w:val="en-US" w:eastAsia="zh-CN"/>
        </w:rPr>
        <w:t>“</w:t>
      </w:r>
      <w:r>
        <w:rPr>
          <w:rFonts w:hint="eastAsia" w:eastAsia="宋体"/>
          <w:lang w:val="en-US" w:eastAsia="zh-CN"/>
        </w:rPr>
        <w:t xml:space="preserve"> </w:t>
      </w:r>
      <w:r>
        <w:rPr>
          <w:lang w:eastAsia="zh-CN"/>
        </w:rPr>
        <w:t>A bandwidth occupied by a PUCCH resource does not exceed the bandwidth corresponding to a 20 MHz carrier/LBT bandwidth</w:t>
      </w:r>
      <w:r>
        <w:rPr>
          <w:rFonts w:hint="default"/>
          <w:lang w:val="en-US" w:eastAsia="zh-CN"/>
        </w:rPr>
        <w:t>”</w:t>
      </w:r>
      <w:r>
        <w:rPr>
          <w:rFonts w:hint="eastAsia"/>
          <w:lang w:val="en-US" w:eastAsia="zh-CN"/>
        </w:rPr>
        <w:t xml:space="preserve">, And there is a conclusion in RAN1 #98 meeting, i.e. </w:t>
      </w:r>
      <w:r>
        <w:rPr>
          <w:rFonts w:hint="default"/>
          <w:lang w:val="en-US" w:eastAsia="zh-CN"/>
        </w:rPr>
        <w:t>“</w:t>
      </w:r>
      <w:r>
        <w:rPr>
          <w:sz w:val="20"/>
        </w:rPr>
        <w:t>For 10 MHz carrier bandwidth, enhancements to Rel-15 UL signals and channels are not necessary</w:t>
      </w:r>
      <w:r>
        <w:rPr>
          <w:rFonts w:hint="default"/>
          <w:lang w:val="en-US" w:eastAsia="zh-CN"/>
        </w:rPr>
        <w:t>”</w:t>
      </w:r>
      <w:r>
        <w:rPr>
          <w:rFonts w:hint="eastAsia"/>
          <w:lang w:val="en-US" w:eastAsia="zh-CN"/>
        </w:rPr>
        <w:t>. For the PUCCH bandwidth and structure, there are still some suspending issues for PUCCH bandwidth and structure, we list them in the following:</w:t>
      </w:r>
    </w:p>
    <w:p>
      <w:pPr>
        <w:numPr>
          <w:ilvl w:val="0"/>
          <w:numId w:val="10"/>
        </w:numPr>
        <w:overflowPunct/>
        <w:autoSpaceDE/>
        <w:autoSpaceDN/>
        <w:adjustRightInd/>
        <w:spacing w:after="0" w:line="240" w:lineRule="auto"/>
        <w:ind w:left="573" w:hanging="363"/>
        <w:jc w:val="both"/>
        <w:textAlignment w:val="auto"/>
        <w:rPr>
          <w:color w:val="auto"/>
          <w:lang w:eastAsia="zh-CN"/>
        </w:rPr>
      </w:pPr>
      <w:r>
        <w:rPr>
          <w:color w:val="auto"/>
          <w:lang w:eastAsia="zh-CN"/>
        </w:rPr>
        <w:t>FFS: PUCCH bandwidth</w:t>
      </w:r>
    </w:p>
    <w:p>
      <w:pPr>
        <w:numPr>
          <w:ilvl w:val="0"/>
          <w:numId w:val="10"/>
        </w:numPr>
        <w:overflowPunct/>
        <w:autoSpaceDE/>
        <w:autoSpaceDN/>
        <w:adjustRightInd/>
        <w:spacing w:after="0" w:line="240" w:lineRule="auto"/>
        <w:ind w:left="573" w:hanging="363"/>
        <w:jc w:val="both"/>
        <w:textAlignment w:val="auto"/>
        <w:rPr>
          <w:sz w:val="20"/>
        </w:rPr>
      </w:pPr>
      <w:r>
        <w:rPr>
          <w:sz w:val="20"/>
        </w:rPr>
        <w:t>FFS: Whether/how an interlaced PF2/3 resource can be configured on 2 interlaces to increase the number of allocated PRBs to 20, 21, or 22 depending on the allocated interlaces</w:t>
      </w:r>
    </w:p>
    <w:p>
      <w:pPr>
        <w:numPr>
          <w:ilvl w:val="0"/>
          <w:numId w:val="10"/>
        </w:numPr>
        <w:overflowPunct/>
        <w:autoSpaceDE/>
        <w:autoSpaceDN/>
        <w:adjustRightInd/>
        <w:spacing w:after="137" w:afterLines="50" w:line="240" w:lineRule="auto"/>
        <w:ind w:left="573" w:hanging="363"/>
        <w:jc w:val="both"/>
        <w:textAlignment w:val="auto"/>
        <w:rPr>
          <w:sz w:val="20"/>
        </w:rPr>
      </w:pPr>
      <w:r>
        <w:rPr>
          <w:sz w:val="20"/>
        </w:rPr>
        <w:t>FFS: Whether or not the BWP can be configured such that N</w:t>
      </w:r>
      <w:r>
        <w:rPr>
          <w:sz w:val="20"/>
          <w:vertAlign w:val="subscript"/>
        </w:rPr>
        <w:t>PUCCH</w:t>
      </w:r>
      <w:r>
        <w:rPr>
          <w:sz w:val="20"/>
        </w:rPr>
        <w:t xml:space="preserve"> is less than 10 or 11</w:t>
      </w:r>
      <w:r>
        <w:rPr>
          <w:rFonts w:hint="eastAsia" w:eastAsia="宋体"/>
          <w:sz w:val="20"/>
          <w:lang w:val="en-US" w:eastAsia="zh-CN"/>
        </w:rPr>
        <w:t xml:space="preserve"> </w:t>
      </w:r>
    </w:p>
    <w:p>
      <w:pPr>
        <w:jc w:val="both"/>
        <w:rPr>
          <w:rFonts w:hint="eastAsia" w:eastAsia="宋体"/>
          <w:lang w:val="en-US" w:eastAsia="zh-CN"/>
        </w:rPr>
      </w:pPr>
      <w:r>
        <w:rPr>
          <w:rFonts w:hint="eastAsia" w:eastAsia="宋体"/>
          <w:lang w:val="en-US" w:eastAsia="zh-CN"/>
        </w:rPr>
        <w:t xml:space="preserve">Taking the agreements and conclusion in RAN1 #98 meeting into consideration, the bandwidth of PUCCH should not exceed 20MHz corresponding to the LBT BW, and for 10MHz carrier bandwidth, there is no point to enhance. </w:t>
      </w:r>
    </w:p>
    <w:p>
      <w:pPr>
        <w:jc w:val="both"/>
        <w:rPr>
          <w:rFonts w:hint="eastAsia" w:eastAsia="宋体"/>
          <w:lang w:val="en-US" w:eastAsia="zh-CN"/>
        </w:rPr>
      </w:pPr>
      <w:r>
        <w:rPr>
          <w:rFonts w:hint="eastAsia" w:eastAsia="宋体"/>
          <w:b/>
          <w:lang w:val="en-US" w:eastAsia="zh-CN"/>
        </w:rPr>
        <w:t>Observation 1</w:t>
      </w:r>
      <w:r>
        <w:rPr>
          <w:rFonts w:eastAsia="宋体"/>
          <w:b/>
          <w:lang w:eastAsia="zh-CN"/>
        </w:rPr>
        <w:t xml:space="preserve">: </w:t>
      </w:r>
      <w:r>
        <w:rPr>
          <w:rFonts w:hint="eastAsia" w:eastAsia="宋体"/>
          <w:i/>
          <w:iCs/>
          <w:lang w:val="en-US" w:eastAsia="zh-CN"/>
        </w:rPr>
        <w:t xml:space="preserve"> The bandwidth of PUCCH should not exceed 20 MHz and there</w:t>
      </w:r>
      <w:r>
        <w:rPr>
          <w:rFonts w:hint="default" w:eastAsia="宋体"/>
          <w:i/>
          <w:iCs/>
          <w:lang w:val="en-US" w:eastAsia="zh-CN"/>
        </w:rPr>
        <w:t>’</w:t>
      </w:r>
      <w:r>
        <w:rPr>
          <w:rFonts w:hint="eastAsia" w:eastAsia="宋体"/>
          <w:i/>
          <w:iCs/>
          <w:lang w:val="en-US" w:eastAsia="zh-CN"/>
        </w:rPr>
        <w:t>s no any point to enhance for 10MHz carrier bandwidth.</w:t>
      </w:r>
    </w:p>
    <w:p>
      <w:pPr>
        <w:jc w:val="both"/>
        <w:rPr>
          <w:rFonts w:hint="eastAsia" w:eastAsia="宋体"/>
          <w:lang w:val="en-US" w:eastAsia="zh-CN"/>
        </w:rPr>
      </w:pPr>
      <w:r>
        <w:rPr>
          <w:rFonts w:hint="eastAsia" w:eastAsia="宋体"/>
          <w:sz w:val="20"/>
          <w:lang w:val="en-US" w:eastAsia="zh-CN"/>
        </w:rPr>
        <w:t>In Rel-15 NR, the maximum number of PRB for PF2 and PF3 is 16. According to the agreement in NR-U, there are 10 or 11 PRBs in one interlace. If the granularity of resource allocation is an interlace, the PRBs allocated for PF2/PF3 will be 10/11 PRBs in one interlace, and 20, 21 or 22 PRBs for two interlaces. And if the number of desired PRBs for PF2/PF3 are more than 10/11 PRBs, the number of allocated interlace should be increased to 2, then the number of PRBs are 20, 21 or 22.  If not, the code rate will be high and the decoding performance will be decreased. So 2 interlaces can be configured for PF2/PF3. But if all of the 20, 21 or 22 PRBs are allocated to PF2/3, the number of desired PRBs is 15, then 5, 6 or 7 PRBs are redundant. Further, b</w:t>
      </w:r>
      <w:r>
        <w:rPr>
          <w:rFonts w:hint="eastAsia" w:eastAsia="宋体"/>
          <w:lang w:val="en-US" w:eastAsia="zh-CN"/>
        </w:rPr>
        <w:t>ased on the discussion on partial interlace in Section 2.1.2, if the partial interlace structure can be supported, the redundant PRBs in one of the 2 allocated interlaces can be allocated to another UE if the requirement of OCB  can be met.</w:t>
      </w:r>
    </w:p>
    <w:p>
      <w:pPr>
        <w:jc w:val="both"/>
        <w:rPr>
          <w:rFonts w:hint="eastAsia" w:eastAsia="宋体"/>
          <w:sz w:val="20"/>
          <w:lang w:val="en-US" w:eastAsia="zh-CN"/>
        </w:rPr>
      </w:pPr>
      <w:r>
        <w:rPr>
          <w:rFonts w:hint="eastAsia"/>
          <w:color w:val="auto"/>
          <w:lang w:val="en-US" w:eastAsia="zh-CN"/>
        </w:rPr>
        <w:t xml:space="preserve">Similarly, if the partial interlace structure was supported for PUCCH format 2/3, then the BWP can be configured </w:t>
      </w:r>
      <w:r>
        <w:rPr>
          <w:sz w:val="20"/>
        </w:rPr>
        <w:t>such that N</w:t>
      </w:r>
      <w:r>
        <w:rPr>
          <w:sz w:val="20"/>
          <w:vertAlign w:val="subscript"/>
        </w:rPr>
        <w:t>PUCCH</w:t>
      </w:r>
      <w:r>
        <w:rPr>
          <w:sz w:val="20"/>
        </w:rPr>
        <w:t xml:space="preserve"> is less than 10 or 11</w:t>
      </w:r>
      <w:r>
        <w:rPr>
          <w:rFonts w:hint="eastAsia" w:eastAsia="宋体"/>
          <w:sz w:val="20"/>
          <w:lang w:val="en-US" w:eastAsia="zh-CN"/>
        </w:rPr>
        <w:t>.</w:t>
      </w:r>
    </w:p>
    <w:p>
      <w:pPr>
        <w:jc w:val="both"/>
        <w:rPr>
          <w:rFonts w:hint="eastAsia" w:eastAsia="宋体"/>
          <w:i/>
          <w:iCs/>
          <w:sz w:val="20"/>
          <w:lang w:val="en-US" w:eastAsia="zh-CN"/>
        </w:rPr>
      </w:pPr>
      <w:r>
        <w:rPr>
          <w:rFonts w:eastAsia="宋体"/>
          <w:b/>
          <w:lang w:eastAsia="zh-CN"/>
        </w:rPr>
        <w:t xml:space="preserve">Proposal </w:t>
      </w:r>
      <w:r>
        <w:rPr>
          <w:rFonts w:hint="eastAsia" w:eastAsia="宋体"/>
          <w:b/>
          <w:lang w:val="en-US" w:eastAsia="zh-CN"/>
        </w:rPr>
        <w:t>8</w:t>
      </w:r>
      <w:r>
        <w:rPr>
          <w:rFonts w:eastAsia="宋体"/>
          <w:b/>
          <w:lang w:eastAsia="zh-CN"/>
        </w:rPr>
        <w:t xml:space="preserve">: </w:t>
      </w:r>
      <w:r>
        <w:rPr>
          <w:rFonts w:hint="eastAsia" w:eastAsia="宋体"/>
          <w:i/>
          <w:iCs/>
          <w:sz w:val="20"/>
          <w:lang w:val="en-US" w:eastAsia="zh-CN"/>
        </w:rPr>
        <w:t>If the number of desired PRBs for PF2/PF3 are more than 10/11 PRBs, the number of allocated interlace should be increased to 2.</w:t>
      </w:r>
    </w:p>
    <w:p>
      <w:pPr>
        <w:jc w:val="both"/>
        <w:rPr>
          <w:rFonts w:hint="eastAsia" w:eastAsia="宋体"/>
          <w:i/>
          <w:iCs/>
          <w:sz w:val="20"/>
          <w:lang w:val="en-US" w:eastAsia="zh-CN"/>
        </w:rPr>
      </w:pPr>
      <w:r>
        <w:rPr>
          <w:rFonts w:eastAsia="宋体"/>
          <w:b/>
          <w:lang w:eastAsia="zh-CN"/>
        </w:rPr>
        <w:t xml:space="preserve">Proposal </w:t>
      </w:r>
      <w:r>
        <w:rPr>
          <w:rFonts w:hint="eastAsia" w:eastAsia="宋体"/>
          <w:b/>
          <w:lang w:val="en-US" w:eastAsia="zh-CN"/>
        </w:rPr>
        <w:t>9</w:t>
      </w:r>
      <w:r>
        <w:rPr>
          <w:rFonts w:eastAsia="宋体"/>
          <w:b/>
          <w:lang w:eastAsia="zh-CN"/>
        </w:rPr>
        <w:t xml:space="preserve">: </w:t>
      </w:r>
      <w:r>
        <w:rPr>
          <w:rFonts w:hint="eastAsia" w:eastAsia="宋体"/>
          <w:b w:val="0"/>
          <w:bCs/>
          <w:i/>
          <w:iCs/>
          <w:lang w:val="en-US" w:eastAsia="zh-CN"/>
        </w:rPr>
        <w:t>I</w:t>
      </w:r>
      <w:r>
        <w:rPr>
          <w:rFonts w:hint="eastAsia" w:eastAsia="宋体"/>
          <w:b w:val="0"/>
          <w:bCs/>
          <w:i/>
          <w:iCs/>
          <w:szCs w:val="22"/>
          <w:lang w:val="en-US" w:eastAsia="zh-CN"/>
        </w:rPr>
        <w:t xml:space="preserve">f </w:t>
      </w:r>
      <w:r>
        <w:rPr>
          <w:rFonts w:hint="eastAsia" w:eastAsia="宋体"/>
          <w:b w:val="0"/>
          <w:i/>
          <w:iCs/>
          <w:szCs w:val="22"/>
          <w:lang w:val="en-US" w:eastAsia="zh-CN"/>
        </w:rPr>
        <w:t>the partial interlace structure was supported for PUCCH format 2/3, then the BWP can be configured such that NPUCCH is less than 10 or 11</w:t>
      </w:r>
      <w:r>
        <w:rPr>
          <w:rFonts w:hint="eastAsia" w:eastAsia="宋体"/>
          <w:i/>
          <w:iCs/>
          <w:sz w:val="20"/>
          <w:szCs w:val="22"/>
          <w:lang w:val="en-US" w:eastAsia="zh-CN"/>
        </w:rPr>
        <w:t>.</w:t>
      </w:r>
    </w:p>
    <w:p>
      <w:pPr>
        <w:pStyle w:val="3"/>
        <w:jc w:val="both"/>
        <w:rPr>
          <w:rFonts w:eastAsia="宋体" w:cs="Arial"/>
          <w:b/>
          <w:sz w:val="24"/>
          <w:szCs w:val="24"/>
          <w:lang w:val="en-US" w:eastAsia="zh-CN"/>
        </w:rPr>
      </w:pPr>
      <w:r>
        <w:rPr>
          <w:rFonts w:hint="eastAsia" w:eastAsia="宋体" w:cs="Arial"/>
          <w:b/>
          <w:sz w:val="24"/>
          <w:szCs w:val="24"/>
          <w:lang w:val="en-US" w:eastAsia="zh-CN"/>
        </w:rPr>
        <w:t xml:space="preserve"> SRS</w:t>
      </w:r>
    </w:p>
    <w:bookmarkEnd w:id="1"/>
    <w:bookmarkEnd w:id="2"/>
    <w:bookmarkEnd w:id="3"/>
    <w:bookmarkEnd w:id="4"/>
    <w:p>
      <w:pPr>
        <w:jc w:val="both"/>
        <w:rPr>
          <w:rFonts w:eastAsia="宋体"/>
          <w:lang w:val="en-US" w:eastAsia="zh-CN"/>
        </w:rPr>
      </w:pPr>
      <w:bookmarkStart w:id="16" w:name="IDX-CHP-8-0992"/>
      <w:bookmarkEnd w:id="16"/>
      <w:bookmarkStart w:id="17" w:name="IDX-CHP-8-0996"/>
      <w:bookmarkEnd w:id="17"/>
      <w:bookmarkStart w:id="18" w:name="IDX-CHP-8-0994"/>
      <w:bookmarkEnd w:id="18"/>
      <w:bookmarkStart w:id="19" w:name="IDX-CHP-8-0995"/>
      <w:bookmarkEnd w:id="19"/>
      <w:bookmarkStart w:id="20" w:name="IDX-CHP-8-0993"/>
      <w:bookmarkEnd w:id="20"/>
      <w:r>
        <w:rPr>
          <w:rFonts w:eastAsia="宋体"/>
          <w:lang w:val="en-US" w:eastAsia="zh-CN"/>
        </w:rPr>
        <w:t>Similar to</w:t>
      </w:r>
      <w:r>
        <w:rPr>
          <w:rFonts w:hint="eastAsia" w:eastAsia="宋体"/>
          <w:lang w:val="en-US" w:eastAsia="zh-CN"/>
        </w:rPr>
        <w:t xml:space="preserve"> LTE, Rel-15 NR supports SRS-based frequency-selective scheduling and periodic/aperiodic SRS transmission. Rel-15 NR also support</w:t>
      </w:r>
      <w:r>
        <w:rPr>
          <w:rFonts w:eastAsia="宋体"/>
          <w:lang w:val="en-US" w:eastAsia="zh-CN"/>
        </w:rPr>
        <w:t>s</w:t>
      </w:r>
      <w:r>
        <w:rPr>
          <w:rFonts w:hint="eastAsia" w:eastAsia="宋体"/>
          <w:lang w:val="en-US" w:eastAsia="zh-CN"/>
        </w:rPr>
        <w:t xml:space="preserve"> SRS-based downlink beamforming and semi-persistent SRS transmission. In NR-U, aperiodic SRS should be supported similar to eLAA</w:t>
      </w:r>
      <w:r>
        <w:rPr>
          <w:rFonts w:eastAsia="宋体"/>
          <w:lang w:val="en-US" w:eastAsia="zh-CN"/>
        </w:rPr>
        <w:t>,</w:t>
      </w:r>
      <w:r>
        <w:rPr>
          <w:rFonts w:hint="eastAsia" w:eastAsia="宋体"/>
          <w:lang w:val="en-US" w:eastAsia="zh-CN"/>
        </w:rPr>
        <w:t xml:space="preserve"> </w:t>
      </w:r>
      <w:r>
        <w:rPr>
          <w:rFonts w:eastAsia="宋体"/>
          <w:lang w:val="en-US" w:eastAsia="zh-CN"/>
        </w:rPr>
        <w:t>since</w:t>
      </w:r>
      <w:r>
        <w:rPr>
          <w:rFonts w:hint="eastAsia" w:eastAsia="宋体"/>
          <w:lang w:val="en-US" w:eastAsia="zh-CN"/>
        </w:rPr>
        <w:t xml:space="preserve"> aperiodic SRS can match the characteristics of opportunistic transmission in unlicensed band. Periodic SRS and semi-persistent SRS can also be considered</w:t>
      </w:r>
      <w:r>
        <w:rPr>
          <w:rFonts w:eastAsia="宋体"/>
          <w:lang w:val="en-US" w:eastAsia="zh-CN"/>
        </w:rPr>
        <w:t>. However,</w:t>
      </w:r>
      <w:r>
        <w:rPr>
          <w:rFonts w:hint="eastAsia" w:eastAsia="宋体"/>
          <w:lang w:val="en-US" w:eastAsia="zh-CN"/>
        </w:rPr>
        <w:t xml:space="preserve"> they may be actually sent in an irregular periodic/semi-persistent manner due to the unpredictable outcome of LBT.</w:t>
      </w:r>
    </w:p>
    <w:p>
      <w:pPr>
        <w:jc w:val="both"/>
        <w:rPr>
          <w:rFonts w:eastAsia="宋体"/>
          <w:highlight w:val="none"/>
          <w:lang w:val="en-US" w:eastAsia="zh-CN"/>
        </w:rPr>
      </w:pPr>
      <w:r>
        <w:rPr>
          <w:rFonts w:hint="eastAsia" w:eastAsia="宋体"/>
          <w:lang w:val="en-US" w:eastAsia="zh-CN"/>
        </w:rPr>
        <w:t xml:space="preserve">The SRS waveform in NR Rel-15 can be reused in NR-U . The comb structure with comb number </w:t>
      </w:r>
      <w:r>
        <w:rPr>
          <w:rFonts w:hint="eastAsia" w:eastAsia="宋体"/>
          <w:i/>
          <w:iCs/>
          <w:lang w:val="en-US" w:eastAsia="zh-CN"/>
        </w:rPr>
        <w:t>K</w:t>
      </w:r>
      <w:r>
        <w:rPr>
          <w:rFonts w:hint="eastAsia" w:eastAsia="宋体"/>
          <w:vertAlign w:val="subscript"/>
          <w:lang w:val="en-US" w:eastAsia="zh-CN"/>
        </w:rPr>
        <w:t xml:space="preserve">TC </w:t>
      </w:r>
      <w:r>
        <w:rPr>
          <w:rFonts w:hint="eastAsia" w:eastAsia="宋体"/>
          <w:lang w:val="en-US" w:eastAsia="zh-CN"/>
        </w:rPr>
        <w:t xml:space="preserve">= 2 or 4 can facilitate SRS transmission to meet the requirements of OCB/PSD by proper configuration, while enabling UE to </w:t>
      </w:r>
      <w:r>
        <w:rPr>
          <w:rFonts w:eastAsia="宋体"/>
          <w:lang w:val="en-US" w:eastAsia="zh-CN"/>
        </w:rPr>
        <w:t>better utilize the</w:t>
      </w:r>
      <w:r>
        <w:rPr>
          <w:rFonts w:hint="eastAsia" w:eastAsia="宋体"/>
          <w:lang w:val="en-US" w:eastAsia="zh-CN"/>
        </w:rPr>
        <w:t xml:space="preserve"> power. SRS can be multiplexed with PUSCH/PUCCH in a TDM manner. Block-interlaced SRS and frequency domain multiplexing of SRS with PUSCH/PUCCH are not necessary in NR-U. Interlaced SRS and frequency domain multiplexing have great impacts on the exiting specification, and they will destroy the cross-correlation properties of ZC sequence. Without accurate evaluation, it is difficult to determine whether it is really beneficial for</w:t>
      </w:r>
      <w:r>
        <w:rPr>
          <w:rFonts w:hint="eastAsia" w:eastAsia="宋体"/>
          <w:highlight w:val="none"/>
          <w:lang w:val="en-US" w:eastAsia="zh-CN"/>
        </w:rPr>
        <w:t xml:space="preserve"> PUSCH link adaptation.</w:t>
      </w:r>
    </w:p>
    <w:p>
      <w:pPr>
        <w:jc w:val="both"/>
        <w:rPr>
          <w:rFonts w:eastAsia="宋体"/>
          <w:lang w:val="en-US" w:eastAsia="zh-CN"/>
        </w:rPr>
      </w:pPr>
      <w:r>
        <w:rPr>
          <w:rFonts w:eastAsia="宋体"/>
          <w:b/>
          <w:lang w:eastAsia="zh-CN"/>
        </w:rPr>
        <w:t xml:space="preserve">Proposal </w:t>
      </w:r>
      <w:r>
        <w:rPr>
          <w:rFonts w:hint="eastAsia" w:eastAsia="宋体"/>
          <w:b/>
          <w:lang w:val="en-US" w:eastAsia="zh-CN"/>
        </w:rPr>
        <w:t>10</w:t>
      </w:r>
      <w:r>
        <w:rPr>
          <w:rFonts w:eastAsia="宋体"/>
          <w:b/>
          <w:lang w:eastAsia="zh-CN"/>
        </w:rPr>
        <w:t>:</w:t>
      </w:r>
      <w:r>
        <w:rPr>
          <w:rFonts w:hint="eastAsia" w:eastAsia="宋体"/>
          <w:b/>
          <w:lang w:val="en-US" w:eastAsia="zh-CN"/>
        </w:rPr>
        <w:t xml:space="preserve"> </w:t>
      </w:r>
      <w:r>
        <w:rPr>
          <w:rFonts w:hint="eastAsia" w:eastAsia="宋体"/>
          <w:bCs/>
          <w:i/>
          <w:iCs/>
          <w:lang w:val="en-US" w:eastAsia="zh-CN"/>
        </w:rPr>
        <w:t>The waveform of Rel-15 NR SRS can be reused for NR-U SRS. NR-U does not need to support interlaced SRS transmission and frequency domain multiplexing of SRS with PUSCH/PUCCH.</w:t>
      </w:r>
    </w:p>
    <w:p>
      <w:pPr>
        <w:jc w:val="both"/>
        <w:rPr>
          <w:rFonts w:eastAsia="宋体"/>
          <w:lang w:val="en-US" w:eastAsia="zh-CN"/>
        </w:rPr>
      </w:pPr>
      <w:r>
        <w:rPr>
          <w:rFonts w:hint="eastAsia" w:eastAsia="宋体"/>
          <w:lang w:val="en-US" w:eastAsia="zh-CN"/>
        </w:rPr>
        <w:t>As described in FL summary</w:t>
      </w:r>
      <w:r>
        <w:rPr>
          <w:rFonts w:eastAsia="宋体"/>
          <w:lang w:val="en-US" w:eastAsia="zh-CN"/>
        </w:rPr>
        <w:t xml:space="preserve"> </w:t>
      </w:r>
      <w:r>
        <w:rPr>
          <w:rFonts w:hint="eastAsia" w:eastAsia="宋体"/>
          <w:highlight w:val="none"/>
          <w:lang w:val="en-US" w:eastAsia="zh-CN"/>
        </w:rPr>
        <w:t>[3]</w:t>
      </w:r>
      <w:r>
        <w:rPr>
          <w:rFonts w:hint="eastAsia" w:eastAsia="宋体"/>
          <w:lang w:val="en-US" w:eastAsia="zh-CN"/>
        </w:rPr>
        <w:t xml:space="preserve">, </w:t>
      </w:r>
      <w:r>
        <w:t>aperiodic SRS resources are triggered in slot n by DCI</w:t>
      </w:r>
      <w:r>
        <w:rPr>
          <w:rFonts w:hint="eastAsia" w:eastAsia="宋体"/>
          <w:lang w:val="en-US" w:eastAsia="zh-CN"/>
        </w:rPr>
        <w:t xml:space="preserve"> i</w:t>
      </w:r>
      <w:r>
        <w:t>n</w:t>
      </w:r>
      <w:r>
        <w:rPr>
          <w:rFonts w:hint="eastAsia" w:eastAsia="宋体"/>
          <w:lang w:val="en-US" w:eastAsia="zh-CN"/>
        </w:rPr>
        <w:t xml:space="preserve"> NR </w:t>
      </w:r>
      <w:r>
        <w:t>Rel-15</w:t>
      </w:r>
      <w:r>
        <w:rPr>
          <w:rFonts w:hint="eastAsia" w:eastAsia="宋体"/>
          <w:lang w:val="en-US" w:eastAsia="zh-CN"/>
        </w:rPr>
        <w:t xml:space="preserve"> </w:t>
      </w:r>
      <w:r>
        <w:t>. A slot offset k is configured by RRC for an SRS resource set such that the resources are transmitted in slot n + k. In contrast, in LTE, more flexibility in triggering ap</w:t>
      </w:r>
      <w:r>
        <w:rPr>
          <w:rFonts w:hint="eastAsia" w:eastAsia="宋体"/>
          <w:lang w:val="en-US" w:eastAsia="zh-CN"/>
        </w:rPr>
        <w:t xml:space="preserve">eriodic </w:t>
      </w:r>
      <w:r>
        <w:t>SRS is allowed to compensate for the fact that slot n + k may not always be an UL slot. For NR-U it may be beneficial to introduce this same kind of flexibility, i.e., allowing SRS to be transmitted in the next UL after slot n + k</w:t>
      </w:r>
      <w:r>
        <w:rPr>
          <w:rFonts w:eastAsia="宋体"/>
          <w:lang w:val="en-US" w:eastAsia="zh-CN"/>
        </w:rPr>
        <w:t>.</w:t>
      </w:r>
    </w:p>
    <w:p>
      <w:pPr>
        <w:jc w:val="both"/>
        <w:rPr>
          <w:rFonts w:eastAsia="宋体"/>
          <w:lang w:val="en-US" w:eastAsia="zh-CN"/>
        </w:rPr>
      </w:pPr>
      <w:r>
        <w:rPr>
          <w:rFonts w:eastAsia="宋体"/>
          <w:b/>
          <w:lang w:eastAsia="zh-CN"/>
        </w:rPr>
        <w:t xml:space="preserve">Proposal </w:t>
      </w:r>
      <w:r>
        <w:rPr>
          <w:rFonts w:hint="eastAsia" w:eastAsia="宋体"/>
          <w:b/>
          <w:lang w:val="en-US" w:eastAsia="zh-CN"/>
        </w:rPr>
        <w:t>11</w:t>
      </w:r>
      <w:r>
        <w:rPr>
          <w:rFonts w:eastAsia="宋体"/>
          <w:b/>
          <w:lang w:eastAsia="zh-CN"/>
        </w:rPr>
        <w:t>:</w:t>
      </w:r>
      <w:r>
        <w:rPr>
          <w:rFonts w:hint="eastAsia" w:eastAsia="宋体"/>
          <w:b/>
          <w:lang w:val="en-US" w:eastAsia="zh-CN"/>
        </w:rPr>
        <w:t xml:space="preserve"> </w:t>
      </w:r>
      <w:bookmarkStart w:id="21" w:name="OLE_LINK7"/>
      <w:r>
        <w:rPr>
          <w:rFonts w:hint="eastAsia" w:eastAsia="宋体"/>
          <w:bCs/>
          <w:i/>
          <w:iCs/>
          <w:lang w:val="en-US" w:eastAsia="zh-CN"/>
        </w:rPr>
        <w:t>NR-U should introduce additional flexibility in triggering aperiodic SRS, i.e. allowing SRS to be transmitted in the next UL after slot n+k.</w:t>
      </w:r>
      <w:bookmarkEnd w:id="21"/>
    </w:p>
    <w:p>
      <w:pPr>
        <w:pStyle w:val="2"/>
        <w:ind w:left="448" w:hanging="448"/>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 xml:space="preserve">Conclusion </w:t>
      </w:r>
    </w:p>
    <w:p>
      <w:pPr>
        <w:widowControl w:val="0"/>
        <w:tabs>
          <w:tab w:val="left" w:pos="2784"/>
        </w:tabs>
        <w:autoSpaceDE w:val="0"/>
        <w:autoSpaceDN w:val="0"/>
        <w:adjustRightInd w:val="0"/>
        <w:spacing w:after="120" w:line="276" w:lineRule="auto"/>
        <w:jc w:val="both"/>
        <w:rPr>
          <w:rFonts w:hint="eastAsia" w:eastAsia="宋体"/>
          <w:i/>
          <w:iCs/>
          <w:lang w:val="en-US" w:eastAsia="zh-CN"/>
        </w:rPr>
      </w:pPr>
      <w:r>
        <w:rPr>
          <w:rFonts w:eastAsia="宋体"/>
          <w:lang w:val="en-US" w:eastAsia="zh-CN"/>
        </w:rPr>
        <w:t>I</w:t>
      </w:r>
      <w:r>
        <w:rPr>
          <w:rFonts w:hint="eastAsia" w:eastAsia="宋体"/>
          <w:lang w:val="en-US" w:eastAsia="zh-CN"/>
        </w:rPr>
        <w:t xml:space="preserve">n this </w:t>
      </w:r>
      <w:r>
        <w:rPr>
          <w:rFonts w:hint="eastAsia" w:eastAsia="宋体"/>
          <w:lang w:eastAsia="zh-CN"/>
        </w:rPr>
        <w:t>contribution</w:t>
      </w:r>
      <w:r>
        <w:rPr>
          <w:rFonts w:hint="eastAsia" w:eastAsia="宋体"/>
          <w:lang w:val="en-US" w:eastAsia="zh-CN"/>
        </w:rPr>
        <w:t>,</w:t>
      </w:r>
      <w:r>
        <w:rPr>
          <w:rFonts w:eastAsia="宋体"/>
          <w:lang w:val="en-US" w:eastAsia="zh-CN"/>
        </w:rPr>
        <w:t xml:space="preserve"> we </w:t>
      </w:r>
      <w:r>
        <w:rPr>
          <w:rFonts w:hint="eastAsia" w:eastAsia="宋体"/>
          <w:lang w:val="en-US" w:eastAsia="zh-CN"/>
        </w:rPr>
        <w:t>discuss some potential solutions and techniques for NR-U UL reference signal design and physical channel design</w:t>
      </w:r>
      <w:r>
        <w:rPr>
          <w:rFonts w:eastAsia="宋体"/>
          <w:lang w:val="en-US" w:eastAsia="zh-CN"/>
        </w:rPr>
        <w:t xml:space="preserve">, and </w:t>
      </w:r>
      <w:r>
        <w:rPr>
          <w:rFonts w:hint="eastAsia" w:eastAsia="宋体"/>
          <w:lang w:val="en-US" w:eastAsia="zh-CN"/>
        </w:rPr>
        <w:t xml:space="preserve">the observation and </w:t>
      </w:r>
      <w:r>
        <w:rPr>
          <w:rFonts w:eastAsia="宋体"/>
          <w:lang w:val="en-US" w:eastAsia="zh-CN"/>
        </w:rPr>
        <w:t>proposal</w:t>
      </w:r>
      <w:r>
        <w:rPr>
          <w:rFonts w:hint="eastAsia" w:eastAsia="宋体"/>
          <w:lang w:val="en-US" w:eastAsia="zh-CN"/>
        </w:rPr>
        <w:t>s are as follows</w:t>
      </w:r>
      <w:r>
        <w:rPr>
          <w:rFonts w:eastAsia="宋体"/>
          <w:lang w:val="en-US" w:eastAsia="zh-CN"/>
        </w:rPr>
        <w:t>:</w:t>
      </w:r>
      <w:r>
        <w:rPr>
          <w:rFonts w:hint="eastAsia" w:eastAsia="宋体"/>
          <w:i/>
          <w:iCs/>
          <w:lang w:val="en-US" w:eastAsia="zh-CN"/>
        </w:rPr>
        <w:t xml:space="preserve"> </w:t>
      </w:r>
    </w:p>
    <w:p>
      <w:pPr>
        <w:rPr>
          <w:rFonts w:hint="eastAsia" w:eastAsia="宋体"/>
          <w:i/>
          <w:iCs/>
          <w:lang w:val="en-US" w:eastAsia="zh-CN"/>
        </w:rPr>
      </w:pPr>
      <w:r>
        <w:rPr>
          <w:rFonts w:eastAsia="宋体"/>
          <w:b/>
          <w:lang w:eastAsia="zh-CN"/>
        </w:rPr>
        <w:t xml:space="preserve">Proposal </w:t>
      </w:r>
      <w:r>
        <w:rPr>
          <w:rFonts w:hint="eastAsia" w:eastAsia="宋体"/>
          <w:b/>
          <w:lang w:val="en-US" w:eastAsia="zh-CN"/>
        </w:rPr>
        <w:t>1</w:t>
      </w:r>
      <w:r>
        <w:rPr>
          <w:rFonts w:eastAsia="宋体"/>
          <w:b/>
          <w:lang w:eastAsia="zh-CN"/>
        </w:rPr>
        <w:t>:</w:t>
      </w:r>
      <w:r>
        <w:rPr>
          <w:rFonts w:hint="eastAsia" w:eastAsia="宋体"/>
          <w:b/>
          <w:lang w:val="en-US" w:eastAsia="zh-CN"/>
        </w:rPr>
        <w:t xml:space="preserve"> </w:t>
      </w:r>
      <w:r>
        <w:rPr>
          <w:i/>
          <w:iCs/>
        </w:rPr>
        <w:t xml:space="preserve">PRB block interlace design </w:t>
      </w:r>
      <w:r>
        <w:rPr>
          <w:rFonts w:hint="eastAsia" w:eastAsia="宋体"/>
          <w:i/>
          <w:iCs/>
          <w:lang w:val="en-US" w:eastAsia="zh-CN"/>
        </w:rPr>
        <w:t>for 60</w:t>
      </w:r>
      <w:r>
        <w:rPr>
          <w:rFonts w:eastAsia="宋体"/>
          <w:i/>
          <w:iCs/>
          <w:lang w:val="en-US" w:eastAsia="zh-CN"/>
        </w:rPr>
        <w:t xml:space="preserve"> </w:t>
      </w:r>
      <w:r>
        <w:rPr>
          <w:rFonts w:hint="eastAsia" w:eastAsia="宋体"/>
          <w:i/>
          <w:iCs/>
          <w:lang w:val="en-US" w:eastAsia="zh-CN"/>
        </w:rPr>
        <w:t xml:space="preserve">kHz is </w:t>
      </w:r>
      <w:r>
        <w:rPr>
          <w:i/>
          <w:iCs/>
        </w:rPr>
        <w:t>not supported for PUSCH and PUCCH</w:t>
      </w:r>
      <w:r>
        <w:rPr>
          <w:rFonts w:hint="eastAsia" w:eastAsia="宋体"/>
          <w:i/>
          <w:iCs/>
          <w:lang w:val="en-US" w:eastAsia="zh-CN"/>
        </w:rPr>
        <w:t xml:space="preserve">. </w:t>
      </w:r>
    </w:p>
    <w:p>
      <w:pPr>
        <w:tabs>
          <w:tab w:val="center" w:pos="4702"/>
        </w:tabs>
        <w:jc w:val="both"/>
        <w:rPr>
          <w:rFonts w:hint="eastAsia"/>
          <w:bCs/>
          <w:i/>
          <w:lang w:val="en-US" w:eastAsia="zh-CN"/>
        </w:rPr>
      </w:pPr>
      <w:r>
        <w:rPr>
          <w:rFonts w:eastAsia="宋体"/>
          <w:b/>
          <w:lang w:eastAsia="zh-CN"/>
        </w:rPr>
        <w:t xml:space="preserve">Proposal </w:t>
      </w:r>
      <w:r>
        <w:rPr>
          <w:rFonts w:hint="eastAsia" w:eastAsia="宋体"/>
          <w:b/>
          <w:lang w:val="en-US" w:eastAsia="zh-CN"/>
        </w:rPr>
        <w:t>2</w:t>
      </w:r>
      <w:r>
        <w:rPr>
          <w:rFonts w:eastAsia="宋体"/>
          <w:b/>
          <w:lang w:eastAsia="zh-CN"/>
        </w:rPr>
        <w:t>:</w:t>
      </w:r>
      <w:r>
        <w:rPr>
          <w:rFonts w:hint="eastAsia" w:eastAsia="宋体"/>
          <w:b/>
          <w:lang w:val="en-US" w:eastAsia="zh-CN"/>
        </w:rPr>
        <w:t xml:space="preserve"> </w:t>
      </w:r>
      <w:r>
        <w:rPr>
          <w:bCs/>
          <w:i/>
          <w:lang w:eastAsia="zh-CN"/>
        </w:rPr>
        <w:t>Partial interlace allocation should be supported</w:t>
      </w:r>
      <w:r>
        <w:rPr>
          <w:rFonts w:hint="eastAsia"/>
          <w:bCs/>
          <w:i/>
          <w:lang w:val="en-US" w:eastAsia="zh-CN"/>
        </w:rPr>
        <w:t>.</w:t>
      </w:r>
    </w:p>
    <w:p>
      <w:pPr>
        <w:numPr>
          <w:ilvl w:val="-1"/>
          <w:numId w:val="0"/>
        </w:numPr>
        <w:ind w:left="0" w:firstLine="0"/>
        <w:jc w:val="both"/>
        <w:rPr>
          <w:rFonts w:hint="eastAsia" w:eastAsia="宋体"/>
          <w:bCs/>
          <w:i/>
          <w:iCs/>
          <w:lang w:val="en-US" w:eastAsia="zh-CN"/>
        </w:rPr>
      </w:pPr>
      <w:r>
        <w:rPr>
          <w:rFonts w:eastAsia="宋体"/>
          <w:b/>
          <w:lang w:eastAsia="zh-CN"/>
        </w:rPr>
        <w:t xml:space="preserve">Proposal </w:t>
      </w:r>
      <w:r>
        <w:rPr>
          <w:rFonts w:hint="eastAsia" w:eastAsia="宋体"/>
          <w:b/>
          <w:lang w:val="en-US" w:eastAsia="zh-CN"/>
        </w:rPr>
        <w:t>3</w:t>
      </w:r>
      <w:r>
        <w:rPr>
          <w:rFonts w:eastAsia="宋体"/>
          <w:b/>
          <w:lang w:eastAsia="zh-CN"/>
        </w:rPr>
        <w:t>:</w:t>
      </w:r>
      <w:r>
        <w:rPr>
          <w:rFonts w:hint="eastAsia" w:eastAsia="宋体"/>
          <w:b/>
          <w:lang w:val="en-US" w:eastAsia="zh-CN"/>
        </w:rPr>
        <w:t xml:space="preserve"> </w:t>
      </w:r>
      <w:r>
        <w:rPr>
          <w:rFonts w:hint="eastAsia" w:eastAsia="宋体"/>
          <w:bCs/>
          <w:i/>
          <w:iCs/>
          <w:lang w:val="en-US" w:eastAsia="zh-CN"/>
        </w:rPr>
        <w:t>In order to support partial interlace for PUSCH/PUCCH transmission, below two methods can be considered:</w:t>
      </w:r>
    </w:p>
    <w:p>
      <w:pPr>
        <w:numPr>
          <w:ilvl w:val="0"/>
          <w:numId w:val="13"/>
        </w:numPr>
        <w:ind w:left="420" w:hanging="420"/>
        <w:jc w:val="both"/>
        <w:rPr>
          <w:rFonts w:hint="eastAsia" w:eastAsia="宋体"/>
          <w:bCs/>
          <w:i/>
          <w:iCs/>
          <w:lang w:val="en-US" w:eastAsia="zh-CN"/>
        </w:rPr>
      </w:pPr>
      <w:r>
        <w:rPr>
          <w:rFonts w:hint="eastAsia" w:eastAsia="宋体"/>
          <w:bCs/>
          <w:i/>
          <w:iCs/>
          <w:lang w:val="en-US" w:eastAsia="zh-CN"/>
        </w:rPr>
        <w:t xml:space="preserve">Alt 1:Indicating allocated interlace(s) and sub-band(s) in the frequency domain resource assignment  scheme </w:t>
      </w:r>
    </w:p>
    <w:p>
      <w:pPr>
        <w:numPr>
          <w:ilvl w:val="0"/>
          <w:numId w:val="13"/>
        </w:numPr>
        <w:ind w:left="420" w:hanging="420"/>
        <w:jc w:val="both"/>
        <w:rPr>
          <w:rFonts w:hint="eastAsia"/>
          <w:bCs/>
          <w:i/>
          <w:lang w:val="en-US" w:eastAsia="zh-CN"/>
        </w:rPr>
      </w:pPr>
      <w:r>
        <w:rPr>
          <w:rFonts w:hint="eastAsia" w:eastAsia="宋体"/>
          <w:bCs/>
          <w:i/>
          <w:iCs/>
          <w:lang w:val="en-US" w:eastAsia="zh-CN"/>
        </w:rPr>
        <w:t xml:space="preserve">Alt 2: Indicating allocated interlace(s) and the </w:t>
      </w:r>
      <w:r>
        <w:rPr>
          <w:rFonts w:hint="eastAsia"/>
          <w:i/>
          <w:iCs/>
          <w:lang w:val="en-US" w:eastAsia="zh-CN"/>
        </w:rPr>
        <w:t>starting PRB index or the offset value of the first PRB of the BWP and the PRB number.</w:t>
      </w:r>
    </w:p>
    <w:p>
      <w:pPr>
        <w:rPr>
          <w:rFonts w:hint="eastAsia" w:eastAsia="宋体"/>
          <w:i/>
          <w:iCs/>
          <w:lang w:val="en-US" w:eastAsia="zh-CN"/>
        </w:rPr>
      </w:pPr>
      <w:r>
        <w:rPr>
          <w:rFonts w:eastAsia="宋体"/>
          <w:b/>
          <w:lang w:eastAsia="zh-CN"/>
        </w:rPr>
        <w:t xml:space="preserve">Proposal </w:t>
      </w:r>
      <w:r>
        <w:rPr>
          <w:rFonts w:hint="eastAsia" w:eastAsia="宋体"/>
          <w:b/>
          <w:lang w:val="en-US" w:eastAsia="zh-CN"/>
        </w:rPr>
        <w:t>4</w:t>
      </w:r>
      <w:r>
        <w:rPr>
          <w:rFonts w:eastAsia="宋体"/>
          <w:b/>
          <w:lang w:eastAsia="zh-CN"/>
        </w:rPr>
        <w:t xml:space="preserve">: </w:t>
      </w:r>
      <w:r>
        <w:rPr>
          <w:rFonts w:hint="eastAsia" w:eastAsia="宋体"/>
          <w:i/>
          <w:iCs/>
          <w:lang w:val="en-US" w:eastAsia="zh-CN"/>
        </w:rPr>
        <w:t>Only</w:t>
      </w:r>
      <w:r>
        <w:rPr>
          <w:i/>
          <w:iCs/>
        </w:rPr>
        <w:t xml:space="preserve"> CP-OFDM </w:t>
      </w:r>
      <w:r>
        <w:rPr>
          <w:rFonts w:hint="eastAsia" w:eastAsia="宋体"/>
          <w:i/>
          <w:iCs/>
          <w:lang w:val="en-US" w:eastAsia="zh-CN"/>
        </w:rPr>
        <w:t xml:space="preserve">waveform is </w:t>
      </w:r>
      <w:r>
        <w:rPr>
          <w:i/>
          <w:iCs/>
        </w:rPr>
        <w:t>supported for interlaced PUSCH</w:t>
      </w:r>
      <w:r>
        <w:rPr>
          <w:rFonts w:hint="eastAsia" w:eastAsia="宋体"/>
          <w:i/>
          <w:iCs/>
          <w:lang w:val="en-US" w:eastAsia="zh-CN"/>
        </w:rPr>
        <w:t xml:space="preserve"> </w:t>
      </w:r>
      <w:r>
        <w:rPr>
          <w:i/>
          <w:iCs/>
        </w:rPr>
        <w:t>transmissi</w:t>
      </w:r>
      <w:r>
        <w:rPr>
          <w:rFonts w:hint="eastAsia" w:eastAsia="宋体"/>
          <w:i/>
          <w:iCs/>
          <w:lang w:val="en-US" w:eastAsia="zh-CN"/>
        </w:rPr>
        <w:t>on.</w:t>
      </w:r>
    </w:p>
    <w:p>
      <w:pPr>
        <w:jc w:val="both"/>
        <w:rPr>
          <w:rFonts w:eastAsia="MS Mincho"/>
          <w:i/>
          <w:iCs/>
          <w:lang w:val="en-US" w:eastAsia="zh-CN"/>
        </w:rPr>
      </w:pPr>
      <w:r>
        <w:rPr>
          <w:rFonts w:eastAsia="宋体"/>
          <w:b/>
          <w:lang w:eastAsia="zh-CN"/>
        </w:rPr>
        <w:t xml:space="preserve">Proposal </w:t>
      </w:r>
      <w:r>
        <w:rPr>
          <w:rFonts w:hint="eastAsia" w:eastAsia="宋体"/>
          <w:b/>
          <w:lang w:val="en-US" w:eastAsia="zh-CN"/>
        </w:rPr>
        <w:t>5</w:t>
      </w:r>
      <w:r>
        <w:rPr>
          <w:rFonts w:eastAsia="宋体"/>
          <w:b/>
          <w:lang w:eastAsia="zh-CN"/>
        </w:rPr>
        <w:t>:</w:t>
      </w:r>
      <w:r>
        <w:rPr>
          <w:rFonts w:hint="eastAsia" w:eastAsia="宋体"/>
          <w:b/>
          <w:lang w:val="en-US" w:eastAsia="zh-CN"/>
        </w:rPr>
        <w:t xml:space="preserve"> </w:t>
      </w:r>
      <w:r>
        <w:rPr>
          <w:rFonts w:eastAsia="宋体"/>
          <w:i/>
          <w:iCs/>
          <w:lang w:val="en-US" w:eastAsia="zh-CN"/>
        </w:rPr>
        <w:t>Multiple</w:t>
      </w:r>
      <w:r>
        <w:rPr>
          <w:rFonts w:eastAsia="MS Mincho"/>
          <w:i/>
          <w:iCs/>
          <w:lang w:eastAsia="ko-KR"/>
        </w:rPr>
        <w:t xml:space="preserve"> </w:t>
      </w:r>
      <w:r>
        <w:rPr>
          <w:rFonts w:hint="eastAsia" w:eastAsia="宋体"/>
          <w:i/>
          <w:iCs/>
          <w:lang w:val="en-US" w:eastAsia="zh-CN"/>
        </w:rPr>
        <w:t xml:space="preserve">candidate </w:t>
      </w:r>
      <w:r>
        <w:rPr>
          <w:rFonts w:eastAsia="MS Mincho"/>
          <w:i/>
          <w:iCs/>
          <w:lang w:eastAsia="ko-KR"/>
        </w:rPr>
        <w:t xml:space="preserve">PUSCH starting positions in a single UL grant </w:t>
      </w:r>
      <w:r>
        <w:rPr>
          <w:rFonts w:eastAsia="宋体"/>
          <w:i/>
          <w:iCs/>
          <w:lang w:val="en-US" w:eastAsia="zh-CN"/>
        </w:rPr>
        <w:t xml:space="preserve">can be </w:t>
      </w:r>
      <w:r>
        <w:rPr>
          <w:rFonts w:eastAsia="MS Mincho"/>
          <w:i/>
          <w:iCs/>
          <w:lang w:eastAsia="ko-KR"/>
        </w:rPr>
        <w:t>supported</w:t>
      </w:r>
      <w:r>
        <w:rPr>
          <w:rFonts w:hint="eastAsia" w:eastAsia="宋体"/>
          <w:i/>
          <w:iCs/>
          <w:lang w:val="en-US" w:eastAsia="zh-CN"/>
        </w:rPr>
        <w:t xml:space="preserve"> in one slot, such as symbol </w:t>
      </w:r>
      <w:r>
        <w:rPr>
          <w:rFonts w:eastAsia="宋体"/>
          <w:i/>
          <w:iCs/>
          <w:lang w:val="en-US" w:eastAsia="zh-CN"/>
        </w:rPr>
        <w:t>#</w:t>
      </w:r>
      <w:r>
        <w:rPr>
          <w:rFonts w:hint="eastAsia" w:eastAsia="宋体"/>
          <w:i/>
          <w:iCs/>
          <w:lang w:val="en-US" w:eastAsia="zh-CN"/>
        </w:rPr>
        <w:t>0,</w:t>
      </w:r>
      <w:r>
        <w:rPr>
          <w:rFonts w:eastAsia="宋体"/>
          <w:i/>
          <w:iCs/>
          <w:lang w:val="en-US" w:eastAsia="zh-CN"/>
        </w:rPr>
        <w:t xml:space="preserve"> #</w:t>
      </w:r>
      <w:r>
        <w:rPr>
          <w:rFonts w:hint="eastAsia" w:eastAsia="宋体"/>
          <w:i/>
          <w:iCs/>
          <w:lang w:val="en-US" w:eastAsia="zh-CN"/>
        </w:rPr>
        <w:t>1,</w:t>
      </w:r>
      <w:r>
        <w:rPr>
          <w:rFonts w:eastAsia="宋体"/>
          <w:i/>
          <w:iCs/>
          <w:lang w:val="en-US" w:eastAsia="zh-CN"/>
        </w:rPr>
        <w:t xml:space="preserve"> #</w:t>
      </w:r>
      <w:r>
        <w:rPr>
          <w:rFonts w:hint="eastAsia" w:eastAsia="宋体"/>
          <w:i/>
          <w:iCs/>
          <w:lang w:val="en-US" w:eastAsia="zh-CN"/>
        </w:rPr>
        <w:t>2,</w:t>
      </w:r>
      <w:r>
        <w:rPr>
          <w:rFonts w:eastAsia="宋体"/>
          <w:i/>
          <w:iCs/>
          <w:lang w:val="en-US" w:eastAsia="zh-CN"/>
        </w:rPr>
        <w:t xml:space="preserve"> #</w:t>
      </w:r>
      <w:r>
        <w:rPr>
          <w:rFonts w:hint="eastAsia" w:eastAsia="宋体"/>
          <w:i/>
          <w:iCs/>
          <w:lang w:val="en-US" w:eastAsia="zh-CN"/>
        </w:rPr>
        <w:t>3,</w:t>
      </w:r>
      <w:r>
        <w:rPr>
          <w:rFonts w:eastAsia="宋体"/>
          <w:i/>
          <w:iCs/>
          <w:lang w:val="en-US" w:eastAsia="zh-CN"/>
        </w:rPr>
        <w:t xml:space="preserve"> #</w:t>
      </w:r>
      <w:r>
        <w:rPr>
          <w:rFonts w:hint="eastAsia" w:eastAsia="宋体"/>
          <w:i/>
          <w:iCs/>
          <w:lang w:val="en-US" w:eastAsia="zh-CN"/>
        </w:rPr>
        <w:t>7,</w:t>
      </w:r>
      <w:r>
        <w:rPr>
          <w:rFonts w:eastAsia="宋体"/>
          <w:i/>
          <w:iCs/>
          <w:lang w:val="en-US" w:eastAsia="zh-CN"/>
        </w:rPr>
        <w:t xml:space="preserve"> #</w:t>
      </w:r>
      <w:r>
        <w:rPr>
          <w:rFonts w:hint="eastAsia" w:eastAsia="宋体"/>
          <w:i/>
          <w:iCs/>
          <w:lang w:val="en-US" w:eastAsia="zh-CN"/>
        </w:rPr>
        <w:t>10</w:t>
      </w:r>
      <w:r>
        <w:rPr>
          <w:rFonts w:eastAsia="宋体"/>
          <w:i/>
          <w:iCs/>
          <w:lang w:val="en-US" w:eastAsia="zh-CN"/>
        </w:rPr>
        <w:t xml:space="preserve">. </w:t>
      </w:r>
    </w:p>
    <w:p>
      <w:pPr>
        <w:jc w:val="both"/>
        <w:rPr>
          <w:rFonts w:eastAsia="宋体"/>
          <w:bCs/>
          <w:i/>
          <w:iCs/>
          <w:lang w:val="en-US" w:eastAsia="zh-CN"/>
        </w:rPr>
      </w:pPr>
      <w:r>
        <w:rPr>
          <w:rFonts w:eastAsia="宋体"/>
          <w:b/>
          <w:lang w:eastAsia="zh-CN"/>
        </w:rPr>
        <w:t xml:space="preserve">Proposal </w:t>
      </w:r>
      <w:r>
        <w:rPr>
          <w:rFonts w:hint="eastAsia" w:eastAsia="宋体"/>
          <w:b/>
          <w:lang w:val="en-US" w:eastAsia="zh-CN"/>
        </w:rPr>
        <w:t>6</w:t>
      </w:r>
      <w:r>
        <w:rPr>
          <w:rFonts w:eastAsia="宋体"/>
          <w:b/>
          <w:lang w:eastAsia="zh-CN"/>
        </w:rPr>
        <w:t xml:space="preserve">: </w:t>
      </w:r>
      <w:r>
        <w:rPr>
          <w:rFonts w:hint="eastAsia" w:eastAsia="宋体"/>
          <w:i/>
          <w:iCs/>
          <w:lang w:val="en-US" w:eastAsia="zh-CN"/>
        </w:rPr>
        <w:t>For PUSCH resource allocation in frequency domain, t</w:t>
      </w:r>
      <w:r>
        <w:rPr>
          <w:rFonts w:hint="eastAsia" w:eastAsia="宋体"/>
          <w:bCs/>
          <w:i/>
          <w:iCs/>
          <w:lang w:val="en-US" w:eastAsia="zh-CN"/>
        </w:rPr>
        <w:t xml:space="preserve">he scheme of  Alt-2 with the same interlace combinations as in LTE eLAA should be supported. </w:t>
      </w:r>
    </w:p>
    <w:p>
      <w:pPr>
        <w:jc w:val="both"/>
        <w:rPr>
          <w:rFonts w:hint="eastAsia" w:eastAsia="宋体"/>
          <w:i w:val="0"/>
          <w:iCs w:val="0"/>
          <w:lang w:val="en-US" w:eastAsia="zh-CN"/>
        </w:rPr>
      </w:pPr>
      <w:r>
        <w:rPr>
          <w:rFonts w:eastAsia="宋体"/>
          <w:b/>
          <w:lang w:eastAsia="zh-CN"/>
        </w:rPr>
        <w:t xml:space="preserve">Proposal </w:t>
      </w:r>
      <w:r>
        <w:rPr>
          <w:rFonts w:hint="eastAsia" w:eastAsia="宋体"/>
          <w:b/>
          <w:lang w:val="en-US" w:eastAsia="zh-CN"/>
        </w:rPr>
        <w:t>7</w:t>
      </w:r>
      <w:r>
        <w:rPr>
          <w:rFonts w:eastAsia="宋体"/>
          <w:b/>
          <w:lang w:eastAsia="zh-CN"/>
        </w:rPr>
        <w:t xml:space="preserve">: </w:t>
      </w:r>
      <w:r>
        <w:rPr>
          <w:rFonts w:hint="eastAsia" w:eastAsia="宋体"/>
          <w:i/>
          <w:iCs/>
          <w:lang w:val="en-US" w:eastAsia="zh-CN"/>
        </w:rPr>
        <w:t>For cycling of cyclic shifts across PRBs of one interlace, the order of descending or ascending can be considered considering the performance and specification complexity.</w:t>
      </w:r>
    </w:p>
    <w:p>
      <w:pPr>
        <w:jc w:val="both"/>
        <w:rPr>
          <w:rFonts w:hint="eastAsia" w:eastAsia="宋体"/>
          <w:i/>
          <w:iCs/>
          <w:lang w:val="en-US" w:eastAsia="zh-CN"/>
        </w:rPr>
      </w:pPr>
      <w:r>
        <w:rPr>
          <w:rFonts w:hint="eastAsia" w:eastAsia="宋体"/>
          <w:b/>
          <w:lang w:val="en-US" w:eastAsia="zh-CN"/>
        </w:rPr>
        <w:t>Observation 1</w:t>
      </w:r>
      <w:r>
        <w:rPr>
          <w:rFonts w:eastAsia="宋体"/>
          <w:b/>
          <w:lang w:eastAsia="zh-CN"/>
        </w:rPr>
        <w:t xml:space="preserve">: </w:t>
      </w:r>
      <w:r>
        <w:rPr>
          <w:rFonts w:hint="eastAsia" w:eastAsia="宋体"/>
          <w:i/>
          <w:iCs/>
          <w:lang w:val="en-US" w:eastAsia="zh-CN"/>
        </w:rPr>
        <w:t>The bandwidth of PUCCH should not exceed 20 MHz and there</w:t>
      </w:r>
      <w:r>
        <w:rPr>
          <w:rFonts w:hint="default" w:eastAsia="宋体"/>
          <w:i/>
          <w:iCs/>
          <w:lang w:val="en-US" w:eastAsia="zh-CN"/>
        </w:rPr>
        <w:t>’</w:t>
      </w:r>
      <w:r>
        <w:rPr>
          <w:rFonts w:hint="eastAsia" w:eastAsia="宋体"/>
          <w:i/>
          <w:iCs/>
          <w:lang w:val="en-US" w:eastAsia="zh-CN"/>
        </w:rPr>
        <w:t>s no any point to enhance for 10MHz carrier bandwidth.</w:t>
      </w:r>
    </w:p>
    <w:p>
      <w:pPr>
        <w:jc w:val="both"/>
        <w:rPr>
          <w:rFonts w:hint="eastAsia" w:eastAsia="宋体"/>
          <w:i/>
          <w:iCs/>
          <w:sz w:val="20"/>
          <w:lang w:val="en-US" w:eastAsia="zh-CN"/>
        </w:rPr>
      </w:pPr>
      <w:r>
        <w:rPr>
          <w:rFonts w:eastAsia="宋体"/>
          <w:b/>
          <w:lang w:eastAsia="zh-CN"/>
        </w:rPr>
        <w:t xml:space="preserve">Proposal </w:t>
      </w:r>
      <w:r>
        <w:rPr>
          <w:rFonts w:hint="eastAsia" w:eastAsia="宋体"/>
          <w:b/>
          <w:lang w:val="en-US" w:eastAsia="zh-CN"/>
        </w:rPr>
        <w:t>8</w:t>
      </w:r>
      <w:r>
        <w:rPr>
          <w:rFonts w:eastAsia="宋体"/>
          <w:b/>
          <w:lang w:eastAsia="zh-CN"/>
        </w:rPr>
        <w:t xml:space="preserve">: </w:t>
      </w:r>
      <w:r>
        <w:rPr>
          <w:rFonts w:hint="eastAsia" w:eastAsia="宋体"/>
          <w:i/>
          <w:iCs/>
          <w:sz w:val="20"/>
          <w:lang w:val="en-US" w:eastAsia="zh-CN"/>
        </w:rPr>
        <w:t>If the number of desired PRBs for PF2/PF3 are more than 10/11 PRBs, the number of allocated interlace should be increased to 2.</w:t>
      </w:r>
    </w:p>
    <w:p>
      <w:pPr>
        <w:jc w:val="both"/>
        <w:rPr>
          <w:rFonts w:hint="eastAsia" w:eastAsia="宋体"/>
          <w:i/>
          <w:iCs/>
          <w:sz w:val="20"/>
          <w:lang w:val="en-US" w:eastAsia="zh-CN"/>
        </w:rPr>
      </w:pPr>
      <w:r>
        <w:rPr>
          <w:rFonts w:eastAsia="宋体"/>
          <w:b/>
          <w:lang w:eastAsia="zh-CN"/>
        </w:rPr>
        <w:t xml:space="preserve">Proposal </w:t>
      </w:r>
      <w:r>
        <w:rPr>
          <w:rFonts w:hint="eastAsia" w:eastAsia="宋体"/>
          <w:b/>
          <w:lang w:val="en-US" w:eastAsia="zh-CN"/>
        </w:rPr>
        <w:t>9</w:t>
      </w:r>
      <w:r>
        <w:rPr>
          <w:rFonts w:eastAsia="宋体"/>
          <w:b/>
          <w:lang w:eastAsia="zh-CN"/>
        </w:rPr>
        <w:t xml:space="preserve">: </w:t>
      </w:r>
      <w:r>
        <w:rPr>
          <w:rFonts w:hint="eastAsia" w:eastAsia="宋体"/>
          <w:b w:val="0"/>
          <w:bCs/>
          <w:i/>
          <w:iCs/>
          <w:lang w:val="en-US" w:eastAsia="zh-CN"/>
        </w:rPr>
        <w:t>I</w:t>
      </w:r>
      <w:r>
        <w:rPr>
          <w:rFonts w:hint="eastAsia" w:eastAsia="宋体"/>
          <w:b w:val="0"/>
          <w:bCs/>
          <w:i/>
          <w:iCs/>
          <w:szCs w:val="22"/>
          <w:lang w:val="en-US" w:eastAsia="zh-CN"/>
        </w:rPr>
        <w:t xml:space="preserve">f </w:t>
      </w:r>
      <w:r>
        <w:rPr>
          <w:rFonts w:hint="eastAsia" w:eastAsia="宋体"/>
          <w:b w:val="0"/>
          <w:i/>
          <w:iCs/>
          <w:szCs w:val="22"/>
          <w:lang w:val="en-US" w:eastAsia="zh-CN"/>
        </w:rPr>
        <w:t>the partial interlace structure was supported for PUCCH format 2/3, then the BWP can be configured such that NPUCCH is less than 10 or 11</w:t>
      </w:r>
      <w:r>
        <w:rPr>
          <w:rFonts w:hint="eastAsia" w:eastAsia="宋体"/>
          <w:i/>
          <w:iCs/>
          <w:sz w:val="20"/>
          <w:szCs w:val="22"/>
          <w:lang w:val="en-US" w:eastAsia="zh-CN"/>
        </w:rPr>
        <w:t>.</w:t>
      </w:r>
    </w:p>
    <w:p>
      <w:pPr>
        <w:jc w:val="both"/>
        <w:rPr>
          <w:rFonts w:hint="eastAsia" w:eastAsia="宋体"/>
          <w:bCs/>
          <w:i/>
          <w:iCs/>
          <w:lang w:val="en-US" w:eastAsia="zh-CN"/>
        </w:rPr>
      </w:pPr>
      <w:r>
        <w:rPr>
          <w:rFonts w:eastAsia="宋体"/>
          <w:b/>
          <w:lang w:eastAsia="zh-CN"/>
        </w:rPr>
        <w:t xml:space="preserve">Proposal </w:t>
      </w:r>
      <w:r>
        <w:rPr>
          <w:rFonts w:hint="eastAsia" w:eastAsia="宋体"/>
          <w:b/>
          <w:lang w:val="en-US" w:eastAsia="zh-CN"/>
        </w:rPr>
        <w:t>10</w:t>
      </w:r>
      <w:r>
        <w:rPr>
          <w:rFonts w:eastAsia="宋体"/>
          <w:b/>
          <w:lang w:eastAsia="zh-CN"/>
        </w:rPr>
        <w:t>:</w:t>
      </w:r>
      <w:r>
        <w:rPr>
          <w:rFonts w:hint="eastAsia" w:eastAsia="宋体"/>
          <w:b/>
          <w:lang w:val="en-US" w:eastAsia="zh-CN"/>
        </w:rPr>
        <w:t xml:space="preserve"> </w:t>
      </w:r>
      <w:r>
        <w:rPr>
          <w:rFonts w:hint="eastAsia" w:eastAsia="宋体"/>
          <w:bCs/>
          <w:i/>
          <w:iCs/>
          <w:lang w:val="en-US" w:eastAsia="zh-CN"/>
        </w:rPr>
        <w:t>The waveform of Rel-15 NR SRS can be reused for NR-U SRS. NR-U does not need to support interlaced SRS transmission and frequency domain multiplexing of SRS with PUSCH/PUCCH.</w:t>
      </w:r>
    </w:p>
    <w:p>
      <w:pPr>
        <w:jc w:val="both"/>
        <w:rPr>
          <w:rFonts w:eastAsia="宋体"/>
          <w:lang w:val="en-US" w:eastAsia="zh-CN"/>
        </w:rPr>
      </w:pPr>
      <w:r>
        <w:rPr>
          <w:rFonts w:eastAsia="宋体"/>
          <w:b/>
          <w:lang w:eastAsia="zh-CN"/>
        </w:rPr>
        <w:t xml:space="preserve">Proposal </w:t>
      </w:r>
      <w:r>
        <w:rPr>
          <w:rFonts w:hint="eastAsia" w:eastAsia="宋体"/>
          <w:b/>
          <w:lang w:val="en-US" w:eastAsia="zh-CN"/>
        </w:rPr>
        <w:t>11</w:t>
      </w:r>
      <w:r>
        <w:rPr>
          <w:rFonts w:eastAsia="宋体"/>
          <w:b/>
          <w:lang w:eastAsia="zh-CN"/>
        </w:rPr>
        <w:t>:</w:t>
      </w:r>
      <w:r>
        <w:rPr>
          <w:rFonts w:hint="eastAsia" w:eastAsia="宋体"/>
          <w:b/>
          <w:lang w:val="en-US" w:eastAsia="zh-CN"/>
        </w:rPr>
        <w:t xml:space="preserve"> </w:t>
      </w:r>
      <w:r>
        <w:rPr>
          <w:rFonts w:hint="eastAsia" w:eastAsia="宋体"/>
          <w:bCs/>
          <w:i/>
          <w:iCs/>
          <w:lang w:val="en-US" w:eastAsia="zh-CN"/>
        </w:rPr>
        <w:t>NR-U should introduce additional flexibility in triggering aperiodic SRS, i.e. allowing SRS to be transmitted in the next UL after slot n+k.</w:t>
      </w:r>
    </w:p>
    <w:p>
      <w:pPr>
        <w:pStyle w:val="2"/>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 xml:space="preserve">References </w:t>
      </w:r>
    </w:p>
    <w:p>
      <w:pPr>
        <w:pStyle w:val="126"/>
      </w:pPr>
      <w:bookmarkStart w:id="22" w:name="_Ref510109017"/>
      <w:bookmarkStart w:id="23" w:name="_Ref345149415"/>
      <w:bookmarkStart w:id="24" w:name="_Ref331106417"/>
      <w:bookmarkStart w:id="25" w:name="_Ref377803896"/>
      <w:bookmarkStart w:id="26" w:name="_Ref351725474"/>
      <w:r>
        <w:t>RAN Chairman’s Notes, 3GPP TSG RAN Meeting #9</w:t>
      </w:r>
      <w:r>
        <w:rPr>
          <w:rFonts w:hint="eastAsia" w:eastAsia="宋体"/>
          <w:lang w:val="en-US" w:eastAsia="zh-CN"/>
        </w:rPr>
        <w:t>8</w:t>
      </w:r>
      <w:r>
        <w:t xml:space="preserve">, </w:t>
      </w:r>
      <w:r>
        <w:rPr>
          <w:rFonts w:hint="eastAsia" w:eastAsia="宋体"/>
          <w:lang w:val="en-US" w:eastAsia="zh-CN"/>
        </w:rPr>
        <w:t>Prague</w:t>
      </w:r>
      <w:r>
        <w:t xml:space="preserve">, </w:t>
      </w:r>
      <w:r>
        <w:rPr>
          <w:rFonts w:hint="eastAsia" w:eastAsia="宋体"/>
          <w:lang w:val="en-US" w:eastAsia="zh-CN"/>
        </w:rPr>
        <w:t>CZ</w:t>
      </w:r>
      <w:r>
        <w:t xml:space="preserve">, </w:t>
      </w:r>
      <w:r>
        <w:rPr>
          <w:rFonts w:hint="eastAsia"/>
          <w:lang w:val="en-US" w:eastAsia="zh-CN"/>
        </w:rPr>
        <w:t>May</w:t>
      </w:r>
      <w:r>
        <w:t xml:space="preserve"> </w:t>
      </w:r>
      <w:r>
        <w:rPr>
          <w:rFonts w:hint="eastAsia"/>
          <w:lang w:val="en-US" w:eastAsia="zh-CN"/>
        </w:rPr>
        <w:t>13</w:t>
      </w:r>
      <w:r>
        <w:t xml:space="preserve"> – 1</w:t>
      </w:r>
      <w:r>
        <w:rPr>
          <w:rFonts w:hint="eastAsia"/>
          <w:lang w:val="en-US" w:eastAsia="zh-CN"/>
        </w:rPr>
        <w:t>7</w:t>
      </w:r>
      <w:r>
        <w:t>, 2019.</w:t>
      </w:r>
      <w:bookmarkEnd w:id="22"/>
      <w:bookmarkEnd w:id="23"/>
      <w:bookmarkEnd w:id="24"/>
      <w:bookmarkEnd w:id="25"/>
      <w:bookmarkEnd w:id="26"/>
    </w:p>
    <w:p>
      <w:pPr>
        <w:pStyle w:val="126"/>
      </w:pPr>
      <w:bookmarkStart w:id="27" w:name="OLE_LINK4"/>
      <w:r>
        <w:rPr>
          <w:rFonts w:hint="eastAsia"/>
        </w:rPr>
        <w:t>R1-1908204 considerations on UL reference signals and channels design for NR-U</w:t>
      </w:r>
      <w:r>
        <w:t>, 3GPP TSG RAN Meeting #9</w:t>
      </w:r>
      <w:r>
        <w:rPr>
          <w:rFonts w:hint="eastAsia" w:eastAsia="宋体"/>
          <w:lang w:val="en-US" w:eastAsia="zh-CN"/>
        </w:rPr>
        <w:t>8</w:t>
      </w:r>
      <w:r>
        <w:t xml:space="preserve">, </w:t>
      </w:r>
      <w:r>
        <w:rPr>
          <w:rFonts w:hint="eastAsia" w:eastAsia="宋体"/>
          <w:lang w:val="en-US" w:eastAsia="zh-CN"/>
        </w:rPr>
        <w:t>Prague</w:t>
      </w:r>
      <w:r>
        <w:t xml:space="preserve">, </w:t>
      </w:r>
      <w:r>
        <w:rPr>
          <w:rFonts w:hint="eastAsia" w:eastAsia="宋体"/>
          <w:lang w:val="en-US" w:eastAsia="zh-CN"/>
        </w:rPr>
        <w:t>CZ</w:t>
      </w:r>
      <w:r>
        <w:t xml:space="preserve">, </w:t>
      </w:r>
      <w:r>
        <w:rPr>
          <w:rFonts w:hint="eastAsia"/>
          <w:lang w:val="en-US" w:eastAsia="zh-CN"/>
        </w:rPr>
        <w:t>May</w:t>
      </w:r>
      <w:r>
        <w:t xml:space="preserve"> </w:t>
      </w:r>
      <w:r>
        <w:rPr>
          <w:rFonts w:hint="eastAsia"/>
          <w:lang w:val="en-US" w:eastAsia="zh-CN"/>
        </w:rPr>
        <w:t>13</w:t>
      </w:r>
      <w:r>
        <w:t xml:space="preserve"> – 1</w:t>
      </w:r>
      <w:r>
        <w:rPr>
          <w:rFonts w:hint="eastAsia"/>
          <w:lang w:val="en-US" w:eastAsia="zh-CN"/>
        </w:rPr>
        <w:t>7</w:t>
      </w:r>
      <w:r>
        <w:t>, 2019.</w:t>
      </w:r>
    </w:p>
    <w:bookmarkEnd w:id="27"/>
    <w:p>
      <w:pPr>
        <w:pStyle w:val="126"/>
        <w:widowControl w:val="0"/>
        <w:autoSpaceDE w:val="0"/>
        <w:autoSpaceDN w:val="0"/>
        <w:adjustRightInd w:val="0"/>
        <w:spacing w:after="0" w:line="276" w:lineRule="auto"/>
        <w:jc w:val="both"/>
        <w:rPr>
          <w:rFonts w:eastAsia="宋体"/>
          <w:lang w:val="en-US" w:eastAsia="zh-CN"/>
        </w:rPr>
      </w:pPr>
      <w:r>
        <w:rPr>
          <w:rFonts w:hint="eastAsia"/>
        </w:rPr>
        <w:t>R1-1909729 Feature Lead Summary 2 for 7.2.2.1.3 UL Signals and Channels v2</w:t>
      </w:r>
      <w:r>
        <w:t>, 3GPP TSG RAN Meeting #9</w:t>
      </w:r>
      <w:r>
        <w:rPr>
          <w:rFonts w:hint="eastAsia" w:eastAsia="宋体"/>
          <w:lang w:val="en-US" w:eastAsia="zh-CN"/>
        </w:rPr>
        <w:t>8</w:t>
      </w:r>
      <w:r>
        <w:t xml:space="preserve">, </w:t>
      </w:r>
      <w:r>
        <w:rPr>
          <w:rFonts w:hint="eastAsia" w:eastAsia="宋体"/>
          <w:lang w:val="en-US" w:eastAsia="zh-CN"/>
        </w:rPr>
        <w:t>Prague</w:t>
      </w:r>
      <w:r>
        <w:t xml:space="preserve">, </w:t>
      </w:r>
      <w:r>
        <w:rPr>
          <w:rFonts w:hint="eastAsia" w:eastAsia="宋体"/>
          <w:lang w:val="en-US" w:eastAsia="zh-CN"/>
        </w:rPr>
        <w:t>CZ</w:t>
      </w:r>
      <w:r>
        <w:t xml:space="preserve">, </w:t>
      </w:r>
      <w:r>
        <w:rPr>
          <w:rFonts w:hint="eastAsia"/>
          <w:lang w:val="en-US" w:eastAsia="zh-CN"/>
        </w:rPr>
        <w:t>May</w:t>
      </w:r>
      <w:r>
        <w:t xml:space="preserve"> </w:t>
      </w:r>
      <w:r>
        <w:rPr>
          <w:rFonts w:hint="eastAsia"/>
          <w:lang w:val="en-US" w:eastAsia="zh-CN"/>
        </w:rPr>
        <w:t>13</w:t>
      </w:r>
      <w:r>
        <w:t xml:space="preserve"> – 1</w:t>
      </w:r>
      <w:r>
        <w:rPr>
          <w:rFonts w:hint="eastAsia"/>
          <w:lang w:val="en-US" w:eastAsia="zh-CN"/>
        </w:rPr>
        <w:t>7</w:t>
      </w:r>
      <w:r>
        <w:t>, 2019.</w:t>
      </w:r>
      <w:bookmarkEnd w:id="0"/>
    </w:p>
    <w:sectPr>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1">
    <w:nsid w:val="0B392DD4"/>
    <w:multiLevelType w:val="multilevel"/>
    <w:tmpl w:val="0B392DD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2B7D24F0"/>
    <w:multiLevelType w:val="multilevel"/>
    <w:tmpl w:val="2B7D24F0"/>
    <w:lvl w:ilvl="0" w:tentative="0">
      <w:start w:val="1"/>
      <w:numFmt w:val="bullet"/>
      <w:lvlText w:val=""/>
      <w:lvlJc w:val="left"/>
      <w:pPr>
        <w:ind w:left="-414" w:hanging="360"/>
      </w:pPr>
      <w:rPr>
        <w:rFonts w:hint="default" w:ascii="Symbol" w:hAnsi="Symbol"/>
      </w:rPr>
    </w:lvl>
    <w:lvl w:ilvl="1" w:tentative="0">
      <w:start w:val="1"/>
      <w:numFmt w:val="bullet"/>
      <w:lvlText w:val="o"/>
      <w:lvlJc w:val="left"/>
      <w:pPr>
        <w:ind w:left="306" w:hanging="360"/>
      </w:pPr>
      <w:rPr>
        <w:rFonts w:hint="default" w:ascii="Courier New" w:hAnsi="Courier New" w:cs="Courier New"/>
      </w:rPr>
    </w:lvl>
    <w:lvl w:ilvl="2" w:tentative="0">
      <w:start w:val="1"/>
      <w:numFmt w:val="bullet"/>
      <w:lvlText w:val=""/>
      <w:lvlJc w:val="left"/>
      <w:pPr>
        <w:ind w:left="1026" w:hanging="360"/>
      </w:pPr>
      <w:rPr>
        <w:rFonts w:hint="default" w:ascii="Wingdings" w:hAnsi="Wingdings"/>
      </w:rPr>
    </w:lvl>
    <w:lvl w:ilvl="3" w:tentative="0">
      <w:start w:val="1"/>
      <w:numFmt w:val="bullet"/>
      <w:lvlText w:val=""/>
      <w:lvlJc w:val="left"/>
      <w:pPr>
        <w:ind w:left="1746" w:hanging="360"/>
      </w:pPr>
      <w:rPr>
        <w:rFonts w:hint="default" w:ascii="Symbol" w:hAnsi="Symbol"/>
      </w:rPr>
    </w:lvl>
    <w:lvl w:ilvl="4" w:tentative="0">
      <w:start w:val="1"/>
      <w:numFmt w:val="bullet"/>
      <w:lvlText w:val="o"/>
      <w:lvlJc w:val="left"/>
      <w:pPr>
        <w:ind w:left="2466" w:hanging="360"/>
      </w:pPr>
      <w:rPr>
        <w:rFonts w:hint="default" w:ascii="Courier New" w:hAnsi="Courier New" w:cs="Courier New"/>
      </w:rPr>
    </w:lvl>
    <w:lvl w:ilvl="5" w:tentative="0">
      <w:start w:val="1"/>
      <w:numFmt w:val="bullet"/>
      <w:lvlText w:val=""/>
      <w:lvlJc w:val="left"/>
      <w:pPr>
        <w:ind w:left="3186" w:hanging="360"/>
      </w:pPr>
      <w:rPr>
        <w:rFonts w:hint="default" w:ascii="Wingdings" w:hAnsi="Wingdings"/>
      </w:rPr>
    </w:lvl>
    <w:lvl w:ilvl="6" w:tentative="0">
      <w:start w:val="1"/>
      <w:numFmt w:val="bullet"/>
      <w:lvlText w:val=""/>
      <w:lvlJc w:val="left"/>
      <w:pPr>
        <w:ind w:left="3906" w:hanging="360"/>
      </w:pPr>
      <w:rPr>
        <w:rFonts w:hint="default" w:ascii="Symbol" w:hAnsi="Symbol"/>
      </w:rPr>
    </w:lvl>
    <w:lvl w:ilvl="7" w:tentative="0">
      <w:start w:val="1"/>
      <w:numFmt w:val="bullet"/>
      <w:lvlText w:val="o"/>
      <w:lvlJc w:val="left"/>
      <w:pPr>
        <w:ind w:left="4626" w:hanging="360"/>
      </w:pPr>
      <w:rPr>
        <w:rFonts w:hint="default" w:ascii="Courier New" w:hAnsi="Courier New" w:cs="Courier New"/>
      </w:rPr>
    </w:lvl>
    <w:lvl w:ilvl="8" w:tentative="0">
      <w:start w:val="1"/>
      <w:numFmt w:val="bullet"/>
      <w:lvlText w:val=""/>
      <w:lvlJc w:val="left"/>
      <w:pPr>
        <w:ind w:left="5346" w:hanging="360"/>
      </w:pPr>
      <w:rPr>
        <w:rFonts w:hint="default" w:ascii="Wingdings" w:hAnsi="Wingdings"/>
      </w:rPr>
    </w:lvl>
  </w:abstractNum>
  <w:abstractNum w:abstractNumId="4">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5">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7">
    <w:nsid w:val="4C85521B"/>
    <w:multiLevelType w:val="multilevel"/>
    <w:tmpl w:val="4C8552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9">
    <w:nsid w:val="5C52C4A3"/>
    <w:multiLevelType w:val="singleLevel"/>
    <w:tmpl w:val="5C52C4A3"/>
    <w:lvl w:ilvl="0" w:tentative="0">
      <w:start w:val="1"/>
      <w:numFmt w:val="bullet"/>
      <w:lvlText w:val=""/>
      <w:lvlJc w:val="left"/>
      <w:pPr>
        <w:ind w:left="420" w:hanging="420"/>
      </w:pPr>
      <w:rPr>
        <w:rFonts w:hint="default" w:ascii="Wingdings" w:hAnsi="Wingdings"/>
      </w:rPr>
    </w:lvl>
  </w:abstractNum>
  <w:abstractNum w:abstractNumId="10">
    <w:nsid w:val="5D4BF7F3"/>
    <w:multiLevelType w:val="multilevel"/>
    <w:tmpl w:val="5D4BF7F3"/>
    <w:lvl w:ilvl="0" w:tentative="0">
      <w:start w:val="1"/>
      <w:numFmt w:val="decimal"/>
      <w:pStyle w:val="2"/>
      <w:lvlText w:val="%1."/>
      <w:lvlJc w:val="left"/>
      <w:pPr>
        <w:ind w:left="432" w:leftChars="0" w:hanging="432" w:firstLineChars="0"/>
      </w:pPr>
      <w:rPr>
        <w:rFonts w:hint="default"/>
      </w:rPr>
    </w:lvl>
    <w:lvl w:ilvl="1" w:tentative="0">
      <w:start w:val="1"/>
      <w:numFmt w:val="decimal"/>
      <w:pStyle w:val="3"/>
      <w:lvlText w:val="%1.%2."/>
      <w:lvlJc w:val="left"/>
      <w:pPr>
        <w:ind w:left="575" w:leftChars="0" w:hanging="575" w:firstLineChars="0"/>
      </w:pPr>
      <w:rPr>
        <w:rFonts w:hint="default"/>
      </w:rPr>
    </w:lvl>
    <w:lvl w:ilvl="2" w:tentative="0">
      <w:start w:val="1"/>
      <w:numFmt w:val="decimal"/>
      <w:pStyle w:val="4"/>
      <w:lvlText w:val="%1.%2.%3."/>
      <w:lvlJc w:val="left"/>
      <w:pPr>
        <w:ind w:left="720" w:leftChars="0" w:hanging="720" w:firstLineChars="0"/>
      </w:pPr>
      <w:rPr>
        <w:rFonts w:hint="default"/>
      </w:rPr>
    </w:lvl>
    <w:lvl w:ilvl="3" w:tentative="0">
      <w:start w:val="1"/>
      <w:numFmt w:val="decimal"/>
      <w:pStyle w:val="5"/>
      <w:lvlText w:val="%1.%2.%3.%4."/>
      <w:lvlJc w:val="left"/>
      <w:pPr>
        <w:ind w:left="864" w:leftChars="0" w:hanging="864" w:firstLineChars="0"/>
      </w:pPr>
      <w:rPr>
        <w:rFonts w:hint="default"/>
      </w:rPr>
    </w:lvl>
    <w:lvl w:ilvl="4" w:tentative="0">
      <w:start w:val="1"/>
      <w:numFmt w:val="decimal"/>
      <w:pStyle w:val="6"/>
      <w:lvlText w:val="%1.%2.%3.%4.%5."/>
      <w:lvlJc w:val="left"/>
      <w:pPr>
        <w:ind w:left="1008" w:leftChars="0" w:hanging="1008" w:firstLineChars="0"/>
      </w:pPr>
      <w:rPr>
        <w:rFonts w:hint="default"/>
      </w:rPr>
    </w:lvl>
    <w:lvl w:ilvl="5" w:tentative="0">
      <w:start w:val="1"/>
      <w:numFmt w:val="decimal"/>
      <w:pStyle w:val="7"/>
      <w:lvlText w:val="%1.%2.%3.%4.%5.%6."/>
      <w:lvlJc w:val="left"/>
      <w:pPr>
        <w:ind w:left="1151" w:leftChars="0" w:hanging="1151" w:firstLineChars="0"/>
      </w:pPr>
      <w:rPr>
        <w:rFonts w:hint="default"/>
      </w:rPr>
    </w:lvl>
    <w:lvl w:ilvl="6" w:tentative="0">
      <w:start w:val="1"/>
      <w:numFmt w:val="decimal"/>
      <w:pStyle w:val="8"/>
      <w:lvlText w:val="%1.%2.%3.%4.%5.%6.%7."/>
      <w:lvlJc w:val="left"/>
      <w:pPr>
        <w:ind w:left="1296" w:leftChars="0" w:hanging="1296" w:firstLineChars="0"/>
      </w:pPr>
      <w:rPr>
        <w:rFonts w:hint="default"/>
      </w:rPr>
    </w:lvl>
    <w:lvl w:ilvl="7" w:tentative="0">
      <w:start w:val="1"/>
      <w:numFmt w:val="decimal"/>
      <w:pStyle w:val="9"/>
      <w:lvlText w:val="%1.%2.%3.%4.%5.%6.%7.%8."/>
      <w:lvlJc w:val="left"/>
      <w:pPr>
        <w:ind w:left="1440" w:leftChars="0" w:hanging="1440" w:firstLineChars="0"/>
      </w:pPr>
      <w:rPr>
        <w:rFonts w:hint="default"/>
      </w:rPr>
    </w:lvl>
    <w:lvl w:ilvl="8" w:tentative="0">
      <w:start w:val="1"/>
      <w:numFmt w:val="decimal"/>
      <w:pStyle w:val="10"/>
      <w:lvlText w:val="%1.%2.%3.%4.%5.%6.%7.%8.%9."/>
      <w:lvlJc w:val="left"/>
      <w:pPr>
        <w:ind w:left="1583" w:leftChars="0" w:hanging="1583" w:firstLineChars="0"/>
      </w:pPr>
      <w:rPr>
        <w:rFonts w:hint="default"/>
      </w:rPr>
    </w:lvl>
  </w:abstractNum>
  <w:abstractNum w:abstractNumId="11">
    <w:nsid w:val="5D8DE032"/>
    <w:multiLevelType w:val="singleLevel"/>
    <w:tmpl w:val="5D8DE032"/>
    <w:lvl w:ilvl="0" w:tentative="0">
      <w:start w:val="1"/>
      <w:numFmt w:val="bullet"/>
      <w:lvlText w:val=""/>
      <w:lvlJc w:val="left"/>
      <w:pPr>
        <w:ind w:left="420" w:leftChars="0" w:hanging="420" w:firstLineChars="0"/>
      </w:pPr>
      <w:rPr>
        <w:rFonts w:hint="default" w:ascii="Wingdings" w:hAnsi="Wingdings"/>
      </w:rPr>
    </w:lvl>
  </w:abstractNum>
  <w:abstractNum w:abstractNumId="12">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3">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0"/>
  </w:num>
  <w:num w:numId="2">
    <w:abstractNumId w:val="6"/>
  </w:num>
  <w:num w:numId="3">
    <w:abstractNumId w:val="12"/>
  </w:num>
  <w:num w:numId="4">
    <w:abstractNumId w:val="13"/>
  </w:num>
  <w:num w:numId="5">
    <w:abstractNumId w:val="2"/>
  </w:num>
  <w:num w:numId="6">
    <w:abstractNumId w:val="8"/>
  </w:num>
  <w:num w:numId="7">
    <w:abstractNumId w:val="5"/>
  </w:num>
  <w:num w:numId="8">
    <w:abstractNumId w:val="0"/>
  </w:num>
  <w:num w:numId="9">
    <w:abstractNumId w:val="4"/>
  </w:num>
  <w:num w:numId="10">
    <w:abstractNumId w:val="3"/>
  </w:num>
  <w:num w:numId="11">
    <w:abstractNumId w:val="1"/>
  </w:num>
  <w:num w:numId="12">
    <w:abstractNumId w:val="7"/>
  </w:num>
  <w:num w:numId="13">
    <w:abstractNumId w:val="1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trackRevisions w:val="1"/>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0B9"/>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EB4"/>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8B8"/>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A44"/>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80D"/>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025"/>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019"/>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E09"/>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971"/>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220"/>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1DA"/>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1C65"/>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5EAE"/>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4D6"/>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36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DF7"/>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ACD"/>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7A5"/>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76A"/>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10"/>
    <w:rsid w:val="003309A5"/>
    <w:rsid w:val="003309AF"/>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0E9"/>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2CD"/>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02F"/>
    <w:rsid w:val="003921D9"/>
    <w:rsid w:val="00392218"/>
    <w:rsid w:val="00392CD7"/>
    <w:rsid w:val="003930E6"/>
    <w:rsid w:val="00393224"/>
    <w:rsid w:val="003937A6"/>
    <w:rsid w:val="00393815"/>
    <w:rsid w:val="00393A09"/>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6C0"/>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C91"/>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42A"/>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0DB"/>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77EB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274"/>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CD4"/>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959"/>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72B"/>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6F6"/>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550"/>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171"/>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0CEE"/>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FD8"/>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CE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766"/>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0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145"/>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B4"/>
    <w:rsid w:val="00600B33"/>
    <w:rsid w:val="00600CC6"/>
    <w:rsid w:val="00601230"/>
    <w:rsid w:val="006012CA"/>
    <w:rsid w:val="006015EC"/>
    <w:rsid w:val="00601AAF"/>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6CDE"/>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37C"/>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4B5"/>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E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9E9"/>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06"/>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C1C"/>
    <w:rsid w:val="006C0049"/>
    <w:rsid w:val="006C0332"/>
    <w:rsid w:val="006C04D1"/>
    <w:rsid w:val="006C06B7"/>
    <w:rsid w:val="006C06B9"/>
    <w:rsid w:val="006C0776"/>
    <w:rsid w:val="006C07B6"/>
    <w:rsid w:val="006C0FB0"/>
    <w:rsid w:val="006C111F"/>
    <w:rsid w:val="006C1156"/>
    <w:rsid w:val="006C11AD"/>
    <w:rsid w:val="006C2244"/>
    <w:rsid w:val="006C25C7"/>
    <w:rsid w:val="006C26F6"/>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C7C2C"/>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7F9"/>
    <w:rsid w:val="006D3BCA"/>
    <w:rsid w:val="006D3D87"/>
    <w:rsid w:val="006D3F2A"/>
    <w:rsid w:val="006D4050"/>
    <w:rsid w:val="006D40BE"/>
    <w:rsid w:val="006D437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4CE"/>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A9A"/>
    <w:rsid w:val="00701FFB"/>
    <w:rsid w:val="0070246E"/>
    <w:rsid w:val="0070263B"/>
    <w:rsid w:val="00702826"/>
    <w:rsid w:val="00702B5C"/>
    <w:rsid w:val="00702DAB"/>
    <w:rsid w:val="00702EB5"/>
    <w:rsid w:val="00702EFD"/>
    <w:rsid w:val="007033ED"/>
    <w:rsid w:val="00703538"/>
    <w:rsid w:val="0070364B"/>
    <w:rsid w:val="00703FBE"/>
    <w:rsid w:val="0070402D"/>
    <w:rsid w:val="007046C1"/>
    <w:rsid w:val="00704AD4"/>
    <w:rsid w:val="00704D31"/>
    <w:rsid w:val="007050BB"/>
    <w:rsid w:val="00705553"/>
    <w:rsid w:val="007058F4"/>
    <w:rsid w:val="0070593B"/>
    <w:rsid w:val="00705B50"/>
    <w:rsid w:val="00706399"/>
    <w:rsid w:val="007063D6"/>
    <w:rsid w:val="0070692F"/>
    <w:rsid w:val="00706BCA"/>
    <w:rsid w:val="00706CDB"/>
    <w:rsid w:val="00706CFA"/>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006"/>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4B35"/>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2F"/>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5E1E"/>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5D37"/>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AE6"/>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15C"/>
    <w:rsid w:val="00810459"/>
    <w:rsid w:val="008107CB"/>
    <w:rsid w:val="00810841"/>
    <w:rsid w:val="00810E1A"/>
    <w:rsid w:val="008110BE"/>
    <w:rsid w:val="008111B8"/>
    <w:rsid w:val="0081187C"/>
    <w:rsid w:val="008119AA"/>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6B0"/>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3E"/>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39D"/>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6D98"/>
    <w:rsid w:val="0087777C"/>
    <w:rsid w:val="0087779B"/>
    <w:rsid w:val="00877923"/>
    <w:rsid w:val="00877962"/>
    <w:rsid w:val="00877A37"/>
    <w:rsid w:val="00880356"/>
    <w:rsid w:val="008805F5"/>
    <w:rsid w:val="00880BD5"/>
    <w:rsid w:val="008814F3"/>
    <w:rsid w:val="00881627"/>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1D2"/>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3F9"/>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0FC"/>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37926"/>
    <w:rsid w:val="009402AC"/>
    <w:rsid w:val="00940450"/>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30F"/>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E9"/>
    <w:rsid w:val="00951EF5"/>
    <w:rsid w:val="00951F46"/>
    <w:rsid w:val="00952276"/>
    <w:rsid w:val="009523CC"/>
    <w:rsid w:val="009529A3"/>
    <w:rsid w:val="00952ACF"/>
    <w:rsid w:val="00952C4B"/>
    <w:rsid w:val="00952D05"/>
    <w:rsid w:val="00952D6C"/>
    <w:rsid w:val="00952D7B"/>
    <w:rsid w:val="00952E4F"/>
    <w:rsid w:val="0095317F"/>
    <w:rsid w:val="0095343E"/>
    <w:rsid w:val="00953504"/>
    <w:rsid w:val="009537B9"/>
    <w:rsid w:val="00953B50"/>
    <w:rsid w:val="00953BE7"/>
    <w:rsid w:val="00953CE8"/>
    <w:rsid w:val="00954514"/>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1E20"/>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E33"/>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3F2"/>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846"/>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B0"/>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109"/>
    <w:rsid w:val="00A1752F"/>
    <w:rsid w:val="00A175AE"/>
    <w:rsid w:val="00A17615"/>
    <w:rsid w:val="00A17E93"/>
    <w:rsid w:val="00A20C09"/>
    <w:rsid w:val="00A20F13"/>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3D4D"/>
    <w:rsid w:val="00A34044"/>
    <w:rsid w:val="00A3470F"/>
    <w:rsid w:val="00A34757"/>
    <w:rsid w:val="00A34849"/>
    <w:rsid w:val="00A34BDE"/>
    <w:rsid w:val="00A34D2C"/>
    <w:rsid w:val="00A351E9"/>
    <w:rsid w:val="00A356FD"/>
    <w:rsid w:val="00A35752"/>
    <w:rsid w:val="00A358F4"/>
    <w:rsid w:val="00A35E86"/>
    <w:rsid w:val="00A35F73"/>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B2A"/>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4F"/>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249"/>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57"/>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A14"/>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70B"/>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31F"/>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7B0"/>
    <w:rsid w:val="00AE7988"/>
    <w:rsid w:val="00AE79DE"/>
    <w:rsid w:val="00AE7D5B"/>
    <w:rsid w:val="00AE7D78"/>
    <w:rsid w:val="00AE7FAA"/>
    <w:rsid w:val="00AF013E"/>
    <w:rsid w:val="00AF076F"/>
    <w:rsid w:val="00AF084B"/>
    <w:rsid w:val="00AF0C6D"/>
    <w:rsid w:val="00AF0C9C"/>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1B2"/>
    <w:rsid w:val="00B06300"/>
    <w:rsid w:val="00B06826"/>
    <w:rsid w:val="00B06FC1"/>
    <w:rsid w:val="00B0712A"/>
    <w:rsid w:val="00B07266"/>
    <w:rsid w:val="00B0747E"/>
    <w:rsid w:val="00B07B54"/>
    <w:rsid w:val="00B07D8A"/>
    <w:rsid w:val="00B101B1"/>
    <w:rsid w:val="00B104B6"/>
    <w:rsid w:val="00B1088C"/>
    <w:rsid w:val="00B1090A"/>
    <w:rsid w:val="00B10D60"/>
    <w:rsid w:val="00B10E28"/>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1"/>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72"/>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391F"/>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D94"/>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2C59"/>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5AE"/>
    <w:rsid w:val="00BD3B37"/>
    <w:rsid w:val="00BD3EA6"/>
    <w:rsid w:val="00BD4335"/>
    <w:rsid w:val="00BD439F"/>
    <w:rsid w:val="00BD46BF"/>
    <w:rsid w:val="00BD4D24"/>
    <w:rsid w:val="00BD57A8"/>
    <w:rsid w:val="00BD6150"/>
    <w:rsid w:val="00BD65B4"/>
    <w:rsid w:val="00BD6623"/>
    <w:rsid w:val="00BD6C27"/>
    <w:rsid w:val="00BD76AD"/>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4F52"/>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0BF"/>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651"/>
    <w:rsid w:val="00C73D2E"/>
    <w:rsid w:val="00C73D38"/>
    <w:rsid w:val="00C73D6A"/>
    <w:rsid w:val="00C73DF2"/>
    <w:rsid w:val="00C74471"/>
    <w:rsid w:val="00C7471C"/>
    <w:rsid w:val="00C74976"/>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783"/>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30"/>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3C2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2AC"/>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5D5C"/>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D1"/>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11C"/>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95C"/>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5FB"/>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4E7"/>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0F"/>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821"/>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AD"/>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023"/>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1D8E"/>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134"/>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AF"/>
    <w:rsid w:val="00EC1236"/>
    <w:rsid w:val="00EC15FB"/>
    <w:rsid w:val="00EC1A09"/>
    <w:rsid w:val="00EC1E0A"/>
    <w:rsid w:val="00EC22B2"/>
    <w:rsid w:val="00EC2440"/>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D7DE6"/>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7B1"/>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379"/>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C99"/>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5922"/>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95D"/>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C3E3A"/>
    <w:rsid w:val="010D2358"/>
    <w:rsid w:val="01120C0E"/>
    <w:rsid w:val="0116466C"/>
    <w:rsid w:val="011C4CBE"/>
    <w:rsid w:val="011F6F61"/>
    <w:rsid w:val="012A1556"/>
    <w:rsid w:val="013449DB"/>
    <w:rsid w:val="013C6729"/>
    <w:rsid w:val="01423885"/>
    <w:rsid w:val="01442386"/>
    <w:rsid w:val="014B0B9E"/>
    <w:rsid w:val="015F0EC7"/>
    <w:rsid w:val="016149C5"/>
    <w:rsid w:val="016300B5"/>
    <w:rsid w:val="01662491"/>
    <w:rsid w:val="016C0C0D"/>
    <w:rsid w:val="0171781D"/>
    <w:rsid w:val="01747D88"/>
    <w:rsid w:val="017B5BE0"/>
    <w:rsid w:val="017E33BB"/>
    <w:rsid w:val="017F5CF5"/>
    <w:rsid w:val="01851947"/>
    <w:rsid w:val="01925003"/>
    <w:rsid w:val="019A5868"/>
    <w:rsid w:val="019F2E30"/>
    <w:rsid w:val="01AA31AA"/>
    <w:rsid w:val="01B06607"/>
    <w:rsid w:val="01B312D6"/>
    <w:rsid w:val="01B56289"/>
    <w:rsid w:val="01B81FB7"/>
    <w:rsid w:val="01C47AC2"/>
    <w:rsid w:val="01CF7BAD"/>
    <w:rsid w:val="01D640E8"/>
    <w:rsid w:val="01D7237F"/>
    <w:rsid w:val="01DB527E"/>
    <w:rsid w:val="01DE59FF"/>
    <w:rsid w:val="01E27892"/>
    <w:rsid w:val="01E75CA2"/>
    <w:rsid w:val="01F3278C"/>
    <w:rsid w:val="020476DE"/>
    <w:rsid w:val="0206407D"/>
    <w:rsid w:val="020B7B2D"/>
    <w:rsid w:val="020C7745"/>
    <w:rsid w:val="020F0B38"/>
    <w:rsid w:val="021440D5"/>
    <w:rsid w:val="0215359B"/>
    <w:rsid w:val="021B339F"/>
    <w:rsid w:val="0228125F"/>
    <w:rsid w:val="023A7813"/>
    <w:rsid w:val="02475F5E"/>
    <w:rsid w:val="024E0D1A"/>
    <w:rsid w:val="02552E76"/>
    <w:rsid w:val="025634E2"/>
    <w:rsid w:val="02577A9B"/>
    <w:rsid w:val="025B023A"/>
    <w:rsid w:val="025F16E8"/>
    <w:rsid w:val="026C1285"/>
    <w:rsid w:val="026D2194"/>
    <w:rsid w:val="026E57BA"/>
    <w:rsid w:val="02706D65"/>
    <w:rsid w:val="0282366C"/>
    <w:rsid w:val="02931A6D"/>
    <w:rsid w:val="029B09E6"/>
    <w:rsid w:val="02A0331E"/>
    <w:rsid w:val="02A6031A"/>
    <w:rsid w:val="02BE100E"/>
    <w:rsid w:val="02C52804"/>
    <w:rsid w:val="02C812E0"/>
    <w:rsid w:val="02CD2D6B"/>
    <w:rsid w:val="02D12B3D"/>
    <w:rsid w:val="02D8584D"/>
    <w:rsid w:val="02DE5212"/>
    <w:rsid w:val="02E03B60"/>
    <w:rsid w:val="02F1425C"/>
    <w:rsid w:val="02F57E17"/>
    <w:rsid w:val="02F7184D"/>
    <w:rsid w:val="02FE0AD1"/>
    <w:rsid w:val="03040789"/>
    <w:rsid w:val="03127134"/>
    <w:rsid w:val="0321227E"/>
    <w:rsid w:val="03272AB0"/>
    <w:rsid w:val="032A7CE3"/>
    <w:rsid w:val="032E7219"/>
    <w:rsid w:val="033A5F50"/>
    <w:rsid w:val="033B3BF7"/>
    <w:rsid w:val="033D4A10"/>
    <w:rsid w:val="033E1D04"/>
    <w:rsid w:val="0352041D"/>
    <w:rsid w:val="035A0BC2"/>
    <w:rsid w:val="035A767B"/>
    <w:rsid w:val="035F4DAA"/>
    <w:rsid w:val="0364716F"/>
    <w:rsid w:val="03660144"/>
    <w:rsid w:val="037217A6"/>
    <w:rsid w:val="03730DEA"/>
    <w:rsid w:val="03766487"/>
    <w:rsid w:val="038F0060"/>
    <w:rsid w:val="038F14C2"/>
    <w:rsid w:val="039D533E"/>
    <w:rsid w:val="03A5329E"/>
    <w:rsid w:val="03B3111B"/>
    <w:rsid w:val="03B4684E"/>
    <w:rsid w:val="03B67395"/>
    <w:rsid w:val="03B92F71"/>
    <w:rsid w:val="03C84CF9"/>
    <w:rsid w:val="03D13C6B"/>
    <w:rsid w:val="03E22829"/>
    <w:rsid w:val="03E22CBA"/>
    <w:rsid w:val="03E9023D"/>
    <w:rsid w:val="03EA0B89"/>
    <w:rsid w:val="03EF62F3"/>
    <w:rsid w:val="03F31AEA"/>
    <w:rsid w:val="03FD5CD4"/>
    <w:rsid w:val="041D3FE2"/>
    <w:rsid w:val="041D7C6A"/>
    <w:rsid w:val="04373938"/>
    <w:rsid w:val="043940AA"/>
    <w:rsid w:val="04492950"/>
    <w:rsid w:val="044A4A15"/>
    <w:rsid w:val="04586E3A"/>
    <w:rsid w:val="047944EF"/>
    <w:rsid w:val="0481370D"/>
    <w:rsid w:val="04866D17"/>
    <w:rsid w:val="048D6E23"/>
    <w:rsid w:val="049408AC"/>
    <w:rsid w:val="049D2025"/>
    <w:rsid w:val="04AD0ED3"/>
    <w:rsid w:val="04AE464A"/>
    <w:rsid w:val="04B14C72"/>
    <w:rsid w:val="04B571F4"/>
    <w:rsid w:val="04B87071"/>
    <w:rsid w:val="04BF401E"/>
    <w:rsid w:val="04C87195"/>
    <w:rsid w:val="04D933F6"/>
    <w:rsid w:val="04ED5BC4"/>
    <w:rsid w:val="04F431DE"/>
    <w:rsid w:val="04FA7D91"/>
    <w:rsid w:val="0503645A"/>
    <w:rsid w:val="0507692C"/>
    <w:rsid w:val="05085622"/>
    <w:rsid w:val="050C02AC"/>
    <w:rsid w:val="05102CF3"/>
    <w:rsid w:val="0514129A"/>
    <w:rsid w:val="051A11D0"/>
    <w:rsid w:val="05207ADF"/>
    <w:rsid w:val="052A60DF"/>
    <w:rsid w:val="052E035C"/>
    <w:rsid w:val="05365D27"/>
    <w:rsid w:val="0539198C"/>
    <w:rsid w:val="053A23EC"/>
    <w:rsid w:val="053B61C1"/>
    <w:rsid w:val="054135B7"/>
    <w:rsid w:val="05561401"/>
    <w:rsid w:val="055E6583"/>
    <w:rsid w:val="05654ACD"/>
    <w:rsid w:val="0568434C"/>
    <w:rsid w:val="056C15D8"/>
    <w:rsid w:val="05714F45"/>
    <w:rsid w:val="057715B6"/>
    <w:rsid w:val="057C70DD"/>
    <w:rsid w:val="058278D6"/>
    <w:rsid w:val="058711A0"/>
    <w:rsid w:val="059311CE"/>
    <w:rsid w:val="05A92F3C"/>
    <w:rsid w:val="05C05591"/>
    <w:rsid w:val="05C15583"/>
    <w:rsid w:val="05CB3699"/>
    <w:rsid w:val="05CC5747"/>
    <w:rsid w:val="05D6183E"/>
    <w:rsid w:val="05EA03BC"/>
    <w:rsid w:val="05F02835"/>
    <w:rsid w:val="05F33C14"/>
    <w:rsid w:val="05F734D4"/>
    <w:rsid w:val="0607152D"/>
    <w:rsid w:val="0611713B"/>
    <w:rsid w:val="06165443"/>
    <w:rsid w:val="06184530"/>
    <w:rsid w:val="061A5819"/>
    <w:rsid w:val="062E281A"/>
    <w:rsid w:val="063B1FB2"/>
    <w:rsid w:val="063D7168"/>
    <w:rsid w:val="06412B65"/>
    <w:rsid w:val="06480C3E"/>
    <w:rsid w:val="064918B2"/>
    <w:rsid w:val="064D0034"/>
    <w:rsid w:val="064E113B"/>
    <w:rsid w:val="065209FD"/>
    <w:rsid w:val="06560B49"/>
    <w:rsid w:val="06606896"/>
    <w:rsid w:val="066152A8"/>
    <w:rsid w:val="0664201F"/>
    <w:rsid w:val="06671ACF"/>
    <w:rsid w:val="066969E1"/>
    <w:rsid w:val="06702927"/>
    <w:rsid w:val="06726F0F"/>
    <w:rsid w:val="067545D6"/>
    <w:rsid w:val="06780CAF"/>
    <w:rsid w:val="06812A0A"/>
    <w:rsid w:val="06861404"/>
    <w:rsid w:val="068E2A9D"/>
    <w:rsid w:val="06940CE5"/>
    <w:rsid w:val="06AC5706"/>
    <w:rsid w:val="06AC7F0C"/>
    <w:rsid w:val="06B14D64"/>
    <w:rsid w:val="06BD22A9"/>
    <w:rsid w:val="06C1240E"/>
    <w:rsid w:val="06D94FC1"/>
    <w:rsid w:val="06E64749"/>
    <w:rsid w:val="06E90A27"/>
    <w:rsid w:val="06F02E7F"/>
    <w:rsid w:val="06F16D38"/>
    <w:rsid w:val="06F663E3"/>
    <w:rsid w:val="07055FEC"/>
    <w:rsid w:val="070D1F4D"/>
    <w:rsid w:val="07180B50"/>
    <w:rsid w:val="07336039"/>
    <w:rsid w:val="073921AA"/>
    <w:rsid w:val="0744130A"/>
    <w:rsid w:val="07542980"/>
    <w:rsid w:val="075667CB"/>
    <w:rsid w:val="076C3680"/>
    <w:rsid w:val="07700040"/>
    <w:rsid w:val="07785D22"/>
    <w:rsid w:val="077927D5"/>
    <w:rsid w:val="07877B44"/>
    <w:rsid w:val="0791344A"/>
    <w:rsid w:val="079D2A5E"/>
    <w:rsid w:val="07B138BC"/>
    <w:rsid w:val="07BF305A"/>
    <w:rsid w:val="07D82CAA"/>
    <w:rsid w:val="07EC4E0F"/>
    <w:rsid w:val="07EF0812"/>
    <w:rsid w:val="07F92987"/>
    <w:rsid w:val="07FF7141"/>
    <w:rsid w:val="08086C69"/>
    <w:rsid w:val="080A608B"/>
    <w:rsid w:val="0810009A"/>
    <w:rsid w:val="08154504"/>
    <w:rsid w:val="081946FA"/>
    <w:rsid w:val="0820059C"/>
    <w:rsid w:val="08205999"/>
    <w:rsid w:val="082641E1"/>
    <w:rsid w:val="082677DF"/>
    <w:rsid w:val="082D4061"/>
    <w:rsid w:val="083106B2"/>
    <w:rsid w:val="08345921"/>
    <w:rsid w:val="083A5050"/>
    <w:rsid w:val="08420F01"/>
    <w:rsid w:val="0849323D"/>
    <w:rsid w:val="0858010B"/>
    <w:rsid w:val="085F3C5C"/>
    <w:rsid w:val="08647FFE"/>
    <w:rsid w:val="08685A1F"/>
    <w:rsid w:val="086D4114"/>
    <w:rsid w:val="086F263B"/>
    <w:rsid w:val="087475CB"/>
    <w:rsid w:val="088D3D5F"/>
    <w:rsid w:val="088E39EA"/>
    <w:rsid w:val="08A23484"/>
    <w:rsid w:val="08A8169A"/>
    <w:rsid w:val="08AA77A5"/>
    <w:rsid w:val="08B3418E"/>
    <w:rsid w:val="08B709A5"/>
    <w:rsid w:val="08B85A9F"/>
    <w:rsid w:val="08C447CA"/>
    <w:rsid w:val="08C6286C"/>
    <w:rsid w:val="08D2225D"/>
    <w:rsid w:val="08D247AE"/>
    <w:rsid w:val="08D769F8"/>
    <w:rsid w:val="08D8285F"/>
    <w:rsid w:val="08DB10C5"/>
    <w:rsid w:val="08DB45BE"/>
    <w:rsid w:val="08DD2D3C"/>
    <w:rsid w:val="08DD3B96"/>
    <w:rsid w:val="08E65700"/>
    <w:rsid w:val="09016D57"/>
    <w:rsid w:val="090551AD"/>
    <w:rsid w:val="090730AE"/>
    <w:rsid w:val="09101BF4"/>
    <w:rsid w:val="09197911"/>
    <w:rsid w:val="091D787D"/>
    <w:rsid w:val="092B4C65"/>
    <w:rsid w:val="093E2A79"/>
    <w:rsid w:val="093F0CB8"/>
    <w:rsid w:val="094016F8"/>
    <w:rsid w:val="09413FA1"/>
    <w:rsid w:val="094C4BFB"/>
    <w:rsid w:val="094C531F"/>
    <w:rsid w:val="09522EF9"/>
    <w:rsid w:val="09573B13"/>
    <w:rsid w:val="095B1F08"/>
    <w:rsid w:val="095C41D4"/>
    <w:rsid w:val="095C6E40"/>
    <w:rsid w:val="095F2550"/>
    <w:rsid w:val="09623BE4"/>
    <w:rsid w:val="09666E1B"/>
    <w:rsid w:val="096B7C67"/>
    <w:rsid w:val="09784AC2"/>
    <w:rsid w:val="097A5AAA"/>
    <w:rsid w:val="097D51B6"/>
    <w:rsid w:val="09817928"/>
    <w:rsid w:val="09870B68"/>
    <w:rsid w:val="09912B55"/>
    <w:rsid w:val="099243E8"/>
    <w:rsid w:val="09933B2D"/>
    <w:rsid w:val="099371BF"/>
    <w:rsid w:val="099C6494"/>
    <w:rsid w:val="099F2D6E"/>
    <w:rsid w:val="09A14451"/>
    <w:rsid w:val="09A4589E"/>
    <w:rsid w:val="09A71B5C"/>
    <w:rsid w:val="09AF63BC"/>
    <w:rsid w:val="09B33214"/>
    <w:rsid w:val="09B44F73"/>
    <w:rsid w:val="09BA049C"/>
    <w:rsid w:val="09D01ECD"/>
    <w:rsid w:val="09D139AF"/>
    <w:rsid w:val="09D93126"/>
    <w:rsid w:val="09E15BD7"/>
    <w:rsid w:val="09E76F9C"/>
    <w:rsid w:val="09E850F6"/>
    <w:rsid w:val="09ED25D7"/>
    <w:rsid w:val="09EE4925"/>
    <w:rsid w:val="09EF790A"/>
    <w:rsid w:val="09F353DF"/>
    <w:rsid w:val="09F70456"/>
    <w:rsid w:val="0A002B9A"/>
    <w:rsid w:val="0A031FD0"/>
    <w:rsid w:val="0A0E3FEF"/>
    <w:rsid w:val="0A0E6DB3"/>
    <w:rsid w:val="0A0F6B87"/>
    <w:rsid w:val="0A1259DB"/>
    <w:rsid w:val="0A156678"/>
    <w:rsid w:val="0A1B2BA5"/>
    <w:rsid w:val="0A2206AE"/>
    <w:rsid w:val="0A23200A"/>
    <w:rsid w:val="0A2D1B8A"/>
    <w:rsid w:val="0A3431E1"/>
    <w:rsid w:val="0A3D6AE7"/>
    <w:rsid w:val="0A431DFA"/>
    <w:rsid w:val="0A4B2AC9"/>
    <w:rsid w:val="0A4C013C"/>
    <w:rsid w:val="0A4F1646"/>
    <w:rsid w:val="0A5E514F"/>
    <w:rsid w:val="0A600F2C"/>
    <w:rsid w:val="0A6B1C6F"/>
    <w:rsid w:val="0A814A09"/>
    <w:rsid w:val="0A8F11D7"/>
    <w:rsid w:val="0A9A5DD1"/>
    <w:rsid w:val="0A9D0ECA"/>
    <w:rsid w:val="0AAE3336"/>
    <w:rsid w:val="0AB47550"/>
    <w:rsid w:val="0AE376C5"/>
    <w:rsid w:val="0AE71643"/>
    <w:rsid w:val="0AE822AF"/>
    <w:rsid w:val="0AEC444D"/>
    <w:rsid w:val="0AEC5E69"/>
    <w:rsid w:val="0B022E8F"/>
    <w:rsid w:val="0B0C6A3D"/>
    <w:rsid w:val="0B0E115A"/>
    <w:rsid w:val="0B110405"/>
    <w:rsid w:val="0B112CFE"/>
    <w:rsid w:val="0B1A3084"/>
    <w:rsid w:val="0B1C3126"/>
    <w:rsid w:val="0B262C89"/>
    <w:rsid w:val="0B2E212B"/>
    <w:rsid w:val="0B335C0F"/>
    <w:rsid w:val="0B432EBE"/>
    <w:rsid w:val="0B4841F7"/>
    <w:rsid w:val="0B4C0BB5"/>
    <w:rsid w:val="0B6070C0"/>
    <w:rsid w:val="0B6C54E9"/>
    <w:rsid w:val="0B745B13"/>
    <w:rsid w:val="0B747CD0"/>
    <w:rsid w:val="0B765E15"/>
    <w:rsid w:val="0B7719AF"/>
    <w:rsid w:val="0B991270"/>
    <w:rsid w:val="0BAC7614"/>
    <w:rsid w:val="0BC2198B"/>
    <w:rsid w:val="0BC32350"/>
    <w:rsid w:val="0BC62453"/>
    <w:rsid w:val="0BE54882"/>
    <w:rsid w:val="0BE62A47"/>
    <w:rsid w:val="0BF07339"/>
    <w:rsid w:val="0BF2590A"/>
    <w:rsid w:val="0BF61FC1"/>
    <w:rsid w:val="0C03402F"/>
    <w:rsid w:val="0C076D09"/>
    <w:rsid w:val="0C1908CF"/>
    <w:rsid w:val="0C1B64E4"/>
    <w:rsid w:val="0C1D7852"/>
    <w:rsid w:val="0C1E432F"/>
    <w:rsid w:val="0C2B4F6E"/>
    <w:rsid w:val="0C310698"/>
    <w:rsid w:val="0C36477F"/>
    <w:rsid w:val="0C4F022E"/>
    <w:rsid w:val="0C5E465E"/>
    <w:rsid w:val="0C624708"/>
    <w:rsid w:val="0C694D28"/>
    <w:rsid w:val="0C800CF5"/>
    <w:rsid w:val="0C8F5033"/>
    <w:rsid w:val="0C94632E"/>
    <w:rsid w:val="0CA06B2F"/>
    <w:rsid w:val="0CA85FC8"/>
    <w:rsid w:val="0CAC738A"/>
    <w:rsid w:val="0CB1691B"/>
    <w:rsid w:val="0CBC52B7"/>
    <w:rsid w:val="0CBD04CE"/>
    <w:rsid w:val="0CBD219E"/>
    <w:rsid w:val="0CBE2FDD"/>
    <w:rsid w:val="0CC019A5"/>
    <w:rsid w:val="0CC52AE6"/>
    <w:rsid w:val="0CCF4814"/>
    <w:rsid w:val="0D05727A"/>
    <w:rsid w:val="0D0722F8"/>
    <w:rsid w:val="0D1355D6"/>
    <w:rsid w:val="0D1C1D8E"/>
    <w:rsid w:val="0D1D3B57"/>
    <w:rsid w:val="0D2460AA"/>
    <w:rsid w:val="0D3D4A3C"/>
    <w:rsid w:val="0D42428A"/>
    <w:rsid w:val="0D4502DE"/>
    <w:rsid w:val="0D4769C6"/>
    <w:rsid w:val="0D5A6088"/>
    <w:rsid w:val="0D5B64A6"/>
    <w:rsid w:val="0D5F406C"/>
    <w:rsid w:val="0D6139FB"/>
    <w:rsid w:val="0D641388"/>
    <w:rsid w:val="0D6563AD"/>
    <w:rsid w:val="0D685A5E"/>
    <w:rsid w:val="0D6A087F"/>
    <w:rsid w:val="0D6F6CBB"/>
    <w:rsid w:val="0D702584"/>
    <w:rsid w:val="0D7116DD"/>
    <w:rsid w:val="0D7678C1"/>
    <w:rsid w:val="0D77689D"/>
    <w:rsid w:val="0D7C4B6D"/>
    <w:rsid w:val="0D85628B"/>
    <w:rsid w:val="0D89475B"/>
    <w:rsid w:val="0D8D664D"/>
    <w:rsid w:val="0D8E5B96"/>
    <w:rsid w:val="0DA27D69"/>
    <w:rsid w:val="0DA45A5D"/>
    <w:rsid w:val="0DA74B7E"/>
    <w:rsid w:val="0DB811C6"/>
    <w:rsid w:val="0DCB6E0C"/>
    <w:rsid w:val="0DD34EA1"/>
    <w:rsid w:val="0DDE2B8E"/>
    <w:rsid w:val="0DE53E77"/>
    <w:rsid w:val="0DE55A2E"/>
    <w:rsid w:val="0DE87E04"/>
    <w:rsid w:val="0DF62983"/>
    <w:rsid w:val="0DFC093F"/>
    <w:rsid w:val="0DFE56F8"/>
    <w:rsid w:val="0E006000"/>
    <w:rsid w:val="0E017990"/>
    <w:rsid w:val="0E131018"/>
    <w:rsid w:val="0E1C0F16"/>
    <w:rsid w:val="0E23717E"/>
    <w:rsid w:val="0E2D2E89"/>
    <w:rsid w:val="0E2F345A"/>
    <w:rsid w:val="0E406BF3"/>
    <w:rsid w:val="0E5C5776"/>
    <w:rsid w:val="0E603FF6"/>
    <w:rsid w:val="0E697A81"/>
    <w:rsid w:val="0E6D3F8A"/>
    <w:rsid w:val="0E734382"/>
    <w:rsid w:val="0E750BA6"/>
    <w:rsid w:val="0E7A2DFB"/>
    <w:rsid w:val="0E7C4118"/>
    <w:rsid w:val="0E853F6E"/>
    <w:rsid w:val="0E8C4918"/>
    <w:rsid w:val="0E9545CC"/>
    <w:rsid w:val="0E9C3DCA"/>
    <w:rsid w:val="0E9F210B"/>
    <w:rsid w:val="0EA34F8B"/>
    <w:rsid w:val="0EAA101B"/>
    <w:rsid w:val="0EAC5021"/>
    <w:rsid w:val="0EB41DE3"/>
    <w:rsid w:val="0EBC78AB"/>
    <w:rsid w:val="0EBD7E7D"/>
    <w:rsid w:val="0EC76108"/>
    <w:rsid w:val="0ECC559A"/>
    <w:rsid w:val="0ED0312E"/>
    <w:rsid w:val="0EDC2BBF"/>
    <w:rsid w:val="0EDE70D4"/>
    <w:rsid w:val="0EE078B7"/>
    <w:rsid w:val="0EE44721"/>
    <w:rsid w:val="0EE635FD"/>
    <w:rsid w:val="0EE6751E"/>
    <w:rsid w:val="0EF00AB6"/>
    <w:rsid w:val="0EF204FD"/>
    <w:rsid w:val="0EFC7510"/>
    <w:rsid w:val="0F26486A"/>
    <w:rsid w:val="0F333602"/>
    <w:rsid w:val="0F337FBA"/>
    <w:rsid w:val="0F35459E"/>
    <w:rsid w:val="0F4A648D"/>
    <w:rsid w:val="0F4C028C"/>
    <w:rsid w:val="0F4C3B8B"/>
    <w:rsid w:val="0F4C6C89"/>
    <w:rsid w:val="0F592901"/>
    <w:rsid w:val="0F6013A0"/>
    <w:rsid w:val="0F8D0B4E"/>
    <w:rsid w:val="0F91251B"/>
    <w:rsid w:val="0F926F44"/>
    <w:rsid w:val="0F9C7455"/>
    <w:rsid w:val="0FAB1807"/>
    <w:rsid w:val="0FAC31FE"/>
    <w:rsid w:val="0FB43344"/>
    <w:rsid w:val="0FB85437"/>
    <w:rsid w:val="0FCA3E4F"/>
    <w:rsid w:val="0FD35C5A"/>
    <w:rsid w:val="0FD84FAB"/>
    <w:rsid w:val="0FE774F3"/>
    <w:rsid w:val="0FEA3BCC"/>
    <w:rsid w:val="0FEA5312"/>
    <w:rsid w:val="0FEA5C4D"/>
    <w:rsid w:val="0FEE4C80"/>
    <w:rsid w:val="0FF06BAB"/>
    <w:rsid w:val="0FF36D88"/>
    <w:rsid w:val="0FFE3BEB"/>
    <w:rsid w:val="100058F7"/>
    <w:rsid w:val="10063E75"/>
    <w:rsid w:val="10094476"/>
    <w:rsid w:val="100B1CFD"/>
    <w:rsid w:val="10213043"/>
    <w:rsid w:val="102B4B71"/>
    <w:rsid w:val="102F41C0"/>
    <w:rsid w:val="103802EE"/>
    <w:rsid w:val="103E5815"/>
    <w:rsid w:val="10453122"/>
    <w:rsid w:val="104D6BCE"/>
    <w:rsid w:val="104E188D"/>
    <w:rsid w:val="105755E5"/>
    <w:rsid w:val="10587490"/>
    <w:rsid w:val="1059545F"/>
    <w:rsid w:val="105B34F3"/>
    <w:rsid w:val="105F7A26"/>
    <w:rsid w:val="10615385"/>
    <w:rsid w:val="10643C0B"/>
    <w:rsid w:val="106452A5"/>
    <w:rsid w:val="106517C3"/>
    <w:rsid w:val="10666C5D"/>
    <w:rsid w:val="106D4283"/>
    <w:rsid w:val="107270F4"/>
    <w:rsid w:val="10731C79"/>
    <w:rsid w:val="10797EF4"/>
    <w:rsid w:val="10807240"/>
    <w:rsid w:val="108D5260"/>
    <w:rsid w:val="10956BCD"/>
    <w:rsid w:val="10A15189"/>
    <w:rsid w:val="10A515DC"/>
    <w:rsid w:val="10A54BC2"/>
    <w:rsid w:val="10AB1814"/>
    <w:rsid w:val="10B7351B"/>
    <w:rsid w:val="10C72352"/>
    <w:rsid w:val="10CB5CED"/>
    <w:rsid w:val="10D002EE"/>
    <w:rsid w:val="10D00A21"/>
    <w:rsid w:val="10D22A3A"/>
    <w:rsid w:val="10D5034C"/>
    <w:rsid w:val="10E837C4"/>
    <w:rsid w:val="10E94048"/>
    <w:rsid w:val="10EA3661"/>
    <w:rsid w:val="10F51C4A"/>
    <w:rsid w:val="10FB069C"/>
    <w:rsid w:val="10FD47E7"/>
    <w:rsid w:val="11031910"/>
    <w:rsid w:val="11067E9F"/>
    <w:rsid w:val="110B6B80"/>
    <w:rsid w:val="11156322"/>
    <w:rsid w:val="11183B45"/>
    <w:rsid w:val="111A4F52"/>
    <w:rsid w:val="11272C1C"/>
    <w:rsid w:val="112D7FC2"/>
    <w:rsid w:val="11317B38"/>
    <w:rsid w:val="11362E5F"/>
    <w:rsid w:val="1145739D"/>
    <w:rsid w:val="11471569"/>
    <w:rsid w:val="114A6135"/>
    <w:rsid w:val="11533521"/>
    <w:rsid w:val="116327EE"/>
    <w:rsid w:val="116D3E49"/>
    <w:rsid w:val="11796F7B"/>
    <w:rsid w:val="117B2CE4"/>
    <w:rsid w:val="117E512B"/>
    <w:rsid w:val="11803F9D"/>
    <w:rsid w:val="11896D0F"/>
    <w:rsid w:val="118A2310"/>
    <w:rsid w:val="119A5052"/>
    <w:rsid w:val="11A05F24"/>
    <w:rsid w:val="11A172AB"/>
    <w:rsid w:val="11A912E7"/>
    <w:rsid w:val="11AD7DBA"/>
    <w:rsid w:val="11B136A6"/>
    <w:rsid w:val="11BB4CD7"/>
    <w:rsid w:val="11C2603C"/>
    <w:rsid w:val="11C53095"/>
    <w:rsid w:val="11C90285"/>
    <w:rsid w:val="11CD79DF"/>
    <w:rsid w:val="11DA7C8F"/>
    <w:rsid w:val="11DD0D61"/>
    <w:rsid w:val="11E558B3"/>
    <w:rsid w:val="11F11FF1"/>
    <w:rsid w:val="12013EFA"/>
    <w:rsid w:val="1204278B"/>
    <w:rsid w:val="120C641F"/>
    <w:rsid w:val="120D79E0"/>
    <w:rsid w:val="12137E52"/>
    <w:rsid w:val="12172F68"/>
    <w:rsid w:val="12193AE8"/>
    <w:rsid w:val="121D22FB"/>
    <w:rsid w:val="121F5E0E"/>
    <w:rsid w:val="12337389"/>
    <w:rsid w:val="12342582"/>
    <w:rsid w:val="12342C09"/>
    <w:rsid w:val="12467173"/>
    <w:rsid w:val="12516E7E"/>
    <w:rsid w:val="12573BFB"/>
    <w:rsid w:val="126466FF"/>
    <w:rsid w:val="126573FA"/>
    <w:rsid w:val="126A5CEC"/>
    <w:rsid w:val="126D249F"/>
    <w:rsid w:val="12720F08"/>
    <w:rsid w:val="12781338"/>
    <w:rsid w:val="12793378"/>
    <w:rsid w:val="128435A6"/>
    <w:rsid w:val="129967F9"/>
    <w:rsid w:val="129E7445"/>
    <w:rsid w:val="12A167CC"/>
    <w:rsid w:val="12A44337"/>
    <w:rsid w:val="12AA27CA"/>
    <w:rsid w:val="12AA3A4E"/>
    <w:rsid w:val="12AB191F"/>
    <w:rsid w:val="12AF352E"/>
    <w:rsid w:val="12B25652"/>
    <w:rsid w:val="12B965AB"/>
    <w:rsid w:val="12C2191B"/>
    <w:rsid w:val="12CA379B"/>
    <w:rsid w:val="12D90828"/>
    <w:rsid w:val="12E9494D"/>
    <w:rsid w:val="12F17995"/>
    <w:rsid w:val="12FE4F66"/>
    <w:rsid w:val="130606EB"/>
    <w:rsid w:val="130C3D17"/>
    <w:rsid w:val="130C5315"/>
    <w:rsid w:val="1310384C"/>
    <w:rsid w:val="13232E56"/>
    <w:rsid w:val="132515BD"/>
    <w:rsid w:val="132F4DB4"/>
    <w:rsid w:val="13390F7E"/>
    <w:rsid w:val="133D6E99"/>
    <w:rsid w:val="133D752C"/>
    <w:rsid w:val="133F11AD"/>
    <w:rsid w:val="134511BF"/>
    <w:rsid w:val="134706E7"/>
    <w:rsid w:val="134D0E57"/>
    <w:rsid w:val="1354016A"/>
    <w:rsid w:val="13586189"/>
    <w:rsid w:val="135B3B12"/>
    <w:rsid w:val="135E2EA4"/>
    <w:rsid w:val="13666D4E"/>
    <w:rsid w:val="136A60BF"/>
    <w:rsid w:val="136E7596"/>
    <w:rsid w:val="13887E24"/>
    <w:rsid w:val="13890FDF"/>
    <w:rsid w:val="1389225E"/>
    <w:rsid w:val="13A17516"/>
    <w:rsid w:val="13B3525D"/>
    <w:rsid w:val="13CB2A4E"/>
    <w:rsid w:val="13D06F5E"/>
    <w:rsid w:val="13E64B13"/>
    <w:rsid w:val="13F40753"/>
    <w:rsid w:val="13F853C7"/>
    <w:rsid w:val="14003BEB"/>
    <w:rsid w:val="140E039A"/>
    <w:rsid w:val="141A69E5"/>
    <w:rsid w:val="141F546A"/>
    <w:rsid w:val="14273B1B"/>
    <w:rsid w:val="142B5C5A"/>
    <w:rsid w:val="142B6603"/>
    <w:rsid w:val="142F492E"/>
    <w:rsid w:val="14321868"/>
    <w:rsid w:val="143A1A1F"/>
    <w:rsid w:val="143B5D18"/>
    <w:rsid w:val="143F6AFF"/>
    <w:rsid w:val="14435F99"/>
    <w:rsid w:val="14451A63"/>
    <w:rsid w:val="144936B8"/>
    <w:rsid w:val="14584883"/>
    <w:rsid w:val="145B3654"/>
    <w:rsid w:val="145B4ECF"/>
    <w:rsid w:val="145F2AA1"/>
    <w:rsid w:val="1468577E"/>
    <w:rsid w:val="146B4B58"/>
    <w:rsid w:val="146C50FB"/>
    <w:rsid w:val="147D4286"/>
    <w:rsid w:val="148220C4"/>
    <w:rsid w:val="14824576"/>
    <w:rsid w:val="148D6F07"/>
    <w:rsid w:val="1494366A"/>
    <w:rsid w:val="14A14730"/>
    <w:rsid w:val="14A854DA"/>
    <w:rsid w:val="14AD6F34"/>
    <w:rsid w:val="14B27B01"/>
    <w:rsid w:val="14BD40F4"/>
    <w:rsid w:val="14C05D3B"/>
    <w:rsid w:val="14C76286"/>
    <w:rsid w:val="14D41A7B"/>
    <w:rsid w:val="14D7556F"/>
    <w:rsid w:val="14D80EFB"/>
    <w:rsid w:val="14DC5A33"/>
    <w:rsid w:val="14E667C5"/>
    <w:rsid w:val="151C4F67"/>
    <w:rsid w:val="151E722E"/>
    <w:rsid w:val="152E1285"/>
    <w:rsid w:val="15445D50"/>
    <w:rsid w:val="15544B6F"/>
    <w:rsid w:val="155C2933"/>
    <w:rsid w:val="15620A7D"/>
    <w:rsid w:val="15771A6D"/>
    <w:rsid w:val="157D178A"/>
    <w:rsid w:val="15886FFB"/>
    <w:rsid w:val="158D59D7"/>
    <w:rsid w:val="158F225E"/>
    <w:rsid w:val="15923BF0"/>
    <w:rsid w:val="15977677"/>
    <w:rsid w:val="159C2708"/>
    <w:rsid w:val="15A0465F"/>
    <w:rsid w:val="15AD40A9"/>
    <w:rsid w:val="15B15DD9"/>
    <w:rsid w:val="15B718CF"/>
    <w:rsid w:val="15B9082E"/>
    <w:rsid w:val="15BF0AD6"/>
    <w:rsid w:val="15BF50CF"/>
    <w:rsid w:val="15C00D77"/>
    <w:rsid w:val="15C037B8"/>
    <w:rsid w:val="15C52CA3"/>
    <w:rsid w:val="15CB65E4"/>
    <w:rsid w:val="15CF58E5"/>
    <w:rsid w:val="15D56A10"/>
    <w:rsid w:val="15E618DB"/>
    <w:rsid w:val="15F30220"/>
    <w:rsid w:val="15F62CC1"/>
    <w:rsid w:val="15F917C5"/>
    <w:rsid w:val="160F52FA"/>
    <w:rsid w:val="161B0196"/>
    <w:rsid w:val="162A2AB0"/>
    <w:rsid w:val="16354AAF"/>
    <w:rsid w:val="164B0084"/>
    <w:rsid w:val="16541F78"/>
    <w:rsid w:val="165E5402"/>
    <w:rsid w:val="165F1E34"/>
    <w:rsid w:val="166527D5"/>
    <w:rsid w:val="166709B3"/>
    <w:rsid w:val="1668681A"/>
    <w:rsid w:val="166E04A8"/>
    <w:rsid w:val="166F43DF"/>
    <w:rsid w:val="167026DE"/>
    <w:rsid w:val="1670292F"/>
    <w:rsid w:val="167050BE"/>
    <w:rsid w:val="16723D25"/>
    <w:rsid w:val="1673549E"/>
    <w:rsid w:val="16784B29"/>
    <w:rsid w:val="16800CB5"/>
    <w:rsid w:val="168027BE"/>
    <w:rsid w:val="1680546F"/>
    <w:rsid w:val="168120DB"/>
    <w:rsid w:val="16853631"/>
    <w:rsid w:val="16867CF9"/>
    <w:rsid w:val="168E31DA"/>
    <w:rsid w:val="16957217"/>
    <w:rsid w:val="169C0B0A"/>
    <w:rsid w:val="16A92F7F"/>
    <w:rsid w:val="16AB5767"/>
    <w:rsid w:val="16AD2DDE"/>
    <w:rsid w:val="16C255D3"/>
    <w:rsid w:val="16C37F07"/>
    <w:rsid w:val="16D26176"/>
    <w:rsid w:val="16D27697"/>
    <w:rsid w:val="16D43050"/>
    <w:rsid w:val="16D64532"/>
    <w:rsid w:val="16D74EAB"/>
    <w:rsid w:val="16DF5A9A"/>
    <w:rsid w:val="16E424E0"/>
    <w:rsid w:val="16E92604"/>
    <w:rsid w:val="16F70307"/>
    <w:rsid w:val="16F9239A"/>
    <w:rsid w:val="16FD7A0D"/>
    <w:rsid w:val="1701616D"/>
    <w:rsid w:val="170261C6"/>
    <w:rsid w:val="170743D0"/>
    <w:rsid w:val="170F75DB"/>
    <w:rsid w:val="17156309"/>
    <w:rsid w:val="17167618"/>
    <w:rsid w:val="171C1EBB"/>
    <w:rsid w:val="172A759A"/>
    <w:rsid w:val="17305AC4"/>
    <w:rsid w:val="17321D47"/>
    <w:rsid w:val="1732651A"/>
    <w:rsid w:val="17425C04"/>
    <w:rsid w:val="17455756"/>
    <w:rsid w:val="174A0C51"/>
    <w:rsid w:val="174B5EF9"/>
    <w:rsid w:val="174F2E48"/>
    <w:rsid w:val="17561367"/>
    <w:rsid w:val="17610924"/>
    <w:rsid w:val="177309EC"/>
    <w:rsid w:val="17743FB9"/>
    <w:rsid w:val="1776750D"/>
    <w:rsid w:val="177A0853"/>
    <w:rsid w:val="1786367E"/>
    <w:rsid w:val="17872851"/>
    <w:rsid w:val="1790575D"/>
    <w:rsid w:val="17921C16"/>
    <w:rsid w:val="179255A4"/>
    <w:rsid w:val="179E1041"/>
    <w:rsid w:val="17A75747"/>
    <w:rsid w:val="17AC2D4F"/>
    <w:rsid w:val="17AE317B"/>
    <w:rsid w:val="17C033DB"/>
    <w:rsid w:val="17C77E8B"/>
    <w:rsid w:val="17CE71BE"/>
    <w:rsid w:val="17D006BD"/>
    <w:rsid w:val="17D101A9"/>
    <w:rsid w:val="17D239A5"/>
    <w:rsid w:val="17D439C9"/>
    <w:rsid w:val="17DC130B"/>
    <w:rsid w:val="17F3037E"/>
    <w:rsid w:val="17F60D95"/>
    <w:rsid w:val="17FA1E61"/>
    <w:rsid w:val="18053424"/>
    <w:rsid w:val="180570E0"/>
    <w:rsid w:val="180B1842"/>
    <w:rsid w:val="18224BDA"/>
    <w:rsid w:val="182948CB"/>
    <w:rsid w:val="182C0872"/>
    <w:rsid w:val="182E1A15"/>
    <w:rsid w:val="18306CDD"/>
    <w:rsid w:val="18313691"/>
    <w:rsid w:val="18321DF7"/>
    <w:rsid w:val="1836092A"/>
    <w:rsid w:val="183A49B2"/>
    <w:rsid w:val="18435648"/>
    <w:rsid w:val="18493F45"/>
    <w:rsid w:val="184C219C"/>
    <w:rsid w:val="184D4113"/>
    <w:rsid w:val="18630137"/>
    <w:rsid w:val="18726B43"/>
    <w:rsid w:val="187C2B9C"/>
    <w:rsid w:val="188042C6"/>
    <w:rsid w:val="188F548E"/>
    <w:rsid w:val="18924512"/>
    <w:rsid w:val="189C1BBC"/>
    <w:rsid w:val="18A01A6C"/>
    <w:rsid w:val="18A5625F"/>
    <w:rsid w:val="18AE5E03"/>
    <w:rsid w:val="18B16CA5"/>
    <w:rsid w:val="18B54546"/>
    <w:rsid w:val="18B66D78"/>
    <w:rsid w:val="18B949D7"/>
    <w:rsid w:val="18D218A3"/>
    <w:rsid w:val="18D55FCF"/>
    <w:rsid w:val="18DC251F"/>
    <w:rsid w:val="18DD328C"/>
    <w:rsid w:val="18DF5436"/>
    <w:rsid w:val="18E36CC6"/>
    <w:rsid w:val="18F26BB9"/>
    <w:rsid w:val="18F60718"/>
    <w:rsid w:val="190612A1"/>
    <w:rsid w:val="19074207"/>
    <w:rsid w:val="190A6BAF"/>
    <w:rsid w:val="190B6CC6"/>
    <w:rsid w:val="190E1968"/>
    <w:rsid w:val="190E1B60"/>
    <w:rsid w:val="19113700"/>
    <w:rsid w:val="19236773"/>
    <w:rsid w:val="19247147"/>
    <w:rsid w:val="193A4BDD"/>
    <w:rsid w:val="194757B8"/>
    <w:rsid w:val="194763F0"/>
    <w:rsid w:val="19575788"/>
    <w:rsid w:val="196A2DF5"/>
    <w:rsid w:val="196F25F8"/>
    <w:rsid w:val="19724102"/>
    <w:rsid w:val="19806F1A"/>
    <w:rsid w:val="19874A7F"/>
    <w:rsid w:val="19881702"/>
    <w:rsid w:val="198A1473"/>
    <w:rsid w:val="199F1B4B"/>
    <w:rsid w:val="19A74637"/>
    <w:rsid w:val="19A748DB"/>
    <w:rsid w:val="19BA0656"/>
    <w:rsid w:val="19BD4BE0"/>
    <w:rsid w:val="19C506EF"/>
    <w:rsid w:val="19C73165"/>
    <w:rsid w:val="19D62901"/>
    <w:rsid w:val="19E13E9D"/>
    <w:rsid w:val="19F1646D"/>
    <w:rsid w:val="19F56342"/>
    <w:rsid w:val="19F75DB7"/>
    <w:rsid w:val="19F9786B"/>
    <w:rsid w:val="19FE0DD3"/>
    <w:rsid w:val="1A0A21C1"/>
    <w:rsid w:val="1A0F0065"/>
    <w:rsid w:val="1A140D44"/>
    <w:rsid w:val="1A1D4534"/>
    <w:rsid w:val="1A2343EA"/>
    <w:rsid w:val="1A2738C7"/>
    <w:rsid w:val="1A2957F0"/>
    <w:rsid w:val="1A2F6733"/>
    <w:rsid w:val="1A3871CC"/>
    <w:rsid w:val="1A3D4E6F"/>
    <w:rsid w:val="1A3E2234"/>
    <w:rsid w:val="1A482E6C"/>
    <w:rsid w:val="1A4F2AFD"/>
    <w:rsid w:val="1A5931DF"/>
    <w:rsid w:val="1A5955A0"/>
    <w:rsid w:val="1A5A791A"/>
    <w:rsid w:val="1A64729B"/>
    <w:rsid w:val="1A652862"/>
    <w:rsid w:val="1A66436A"/>
    <w:rsid w:val="1A665379"/>
    <w:rsid w:val="1A7A0DBA"/>
    <w:rsid w:val="1A7C0C84"/>
    <w:rsid w:val="1A803CF2"/>
    <w:rsid w:val="1A8F20C8"/>
    <w:rsid w:val="1A913627"/>
    <w:rsid w:val="1A9401AF"/>
    <w:rsid w:val="1A9C4D33"/>
    <w:rsid w:val="1AA023A3"/>
    <w:rsid w:val="1AAA5E1F"/>
    <w:rsid w:val="1AAB3FC8"/>
    <w:rsid w:val="1AB9186B"/>
    <w:rsid w:val="1ABD15C1"/>
    <w:rsid w:val="1ABE5D88"/>
    <w:rsid w:val="1AC17C6C"/>
    <w:rsid w:val="1AC2776D"/>
    <w:rsid w:val="1AC96609"/>
    <w:rsid w:val="1AD00313"/>
    <w:rsid w:val="1AD03238"/>
    <w:rsid w:val="1ADC3DB3"/>
    <w:rsid w:val="1AE64A2F"/>
    <w:rsid w:val="1AED65C8"/>
    <w:rsid w:val="1AF95DBE"/>
    <w:rsid w:val="1B000602"/>
    <w:rsid w:val="1B044187"/>
    <w:rsid w:val="1B0638C9"/>
    <w:rsid w:val="1B091337"/>
    <w:rsid w:val="1B0977C2"/>
    <w:rsid w:val="1B0C26CA"/>
    <w:rsid w:val="1B0F56DD"/>
    <w:rsid w:val="1B1536FF"/>
    <w:rsid w:val="1B1C73CD"/>
    <w:rsid w:val="1B5C3A12"/>
    <w:rsid w:val="1B5D4E2A"/>
    <w:rsid w:val="1B6B1FED"/>
    <w:rsid w:val="1B6B38B0"/>
    <w:rsid w:val="1B6D6F8F"/>
    <w:rsid w:val="1B6D7BDE"/>
    <w:rsid w:val="1B7E47D9"/>
    <w:rsid w:val="1B7F17B4"/>
    <w:rsid w:val="1B837FF7"/>
    <w:rsid w:val="1B8C2A95"/>
    <w:rsid w:val="1B8D0E37"/>
    <w:rsid w:val="1B8D6B3C"/>
    <w:rsid w:val="1B9451EE"/>
    <w:rsid w:val="1B957963"/>
    <w:rsid w:val="1B9756F7"/>
    <w:rsid w:val="1BA0668A"/>
    <w:rsid w:val="1BA202D5"/>
    <w:rsid w:val="1BAB3644"/>
    <w:rsid w:val="1BB213F2"/>
    <w:rsid w:val="1BCA32A6"/>
    <w:rsid w:val="1BD36FEF"/>
    <w:rsid w:val="1BDA71C6"/>
    <w:rsid w:val="1BF867C3"/>
    <w:rsid w:val="1C073B8E"/>
    <w:rsid w:val="1C19643D"/>
    <w:rsid w:val="1C2D1A2B"/>
    <w:rsid w:val="1C2E36A5"/>
    <w:rsid w:val="1C3D50A3"/>
    <w:rsid w:val="1C4A4C74"/>
    <w:rsid w:val="1C4E66AF"/>
    <w:rsid w:val="1C4F0531"/>
    <w:rsid w:val="1C534A61"/>
    <w:rsid w:val="1C5A6120"/>
    <w:rsid w:val="1C6149F5"/>
    <w:rsid w:val="1C627162"/>
    <w:rsid w:val="1C65105F"/>
    <w:rsid w:val="1C661768"/>
    <w:rsid w:val="1C704EF3"/>
    <w:rsid w:val="1C75443F"/>
    <w:rsid w:val="1C771723"/>
    <w:rsid w:val="1C872E0E"/>
    <w:rsid w:val="1C943D14"/>
    <w:rsid w:val="1C9A5EA0"/>
    <w:rsid w:val="1C9B0912"/>
    <w:rsid w:val="1C9B688B"/>
    <w:rsid w:val="1CA513C4"/>
    <w:rsid w:val="1CAD098A"/>
    <w:rsid w:val="1CB362DA"/>
    <w:rsid w:val="1CB86591"/>
    <w:rsid w:val="1CBA6EDE"/>
    <w:rsid w:val="1CBB7CFB"/>
    <w:rsid w:val="1CBE0EA4"/>
    <w:rsid w:val="1CC7011F"/>
    <w:rsid w:val="1CD01E5F"/>
    <w:rsid w:val="1CD81E07"/>
    <w:rsid w:val="1CE13723"/>
    <w:rsid w:val="1CF8099A"/>
    <w:rsid w:val="1D040848"/>
    <w:rsid w:val="1D1320F5"/>
    <w:rsid w:val="1D186481"/>
    <w:rsid w:val="1D1D4250"/>
    <w:rsid w:val="1D200F05"/>
    <w:rsid w:val="1D21302D"/>
    <w:rsid w:val="1D221A22"/>
    <w:rsid w:val="1D2768F8"/>
    <w:rsid w:val="1D382BD5"/>
    <w:rsid w:val="1D3922E5"/>
    <w:rsid w:val="1D3E57B2"/>
    <w:rsid w:val="1D491C92"/>
    <w:rsid w:val="1D50103B"/>
    <w:rsid w:val="1D50507A"/>
    <w:rsid w:val="1D555EC9"/>
    <w:rsid w:val="1D5B101B"/>
    <w:rsid w:val="1D5B5CBB"/>
    <w:rsid w:val="1D617D12"/>
    <w:rsid w:val="1D666150"/>
    <w:rsid w:val="1D686FCB"/>
    <w:rsid w:val="1D794B7C"/>
    <w:rsid w:val="1D7D4C42"/>
    <w:rsid w:val="1D80590F"/>
    <w:rsid w:val="1D845314"/>
    <w:rsid w:val="1D921EDF"/>
    <w:rsid w:val="1DA26B46"/>
    <w:rsid w:val="1DA62F8C"/>
    <w:rsid w:val="1DA76EC7"/>
    <w:rsid w:val="1DAB7F51"/>
    <w:rsid w:val="1DB816D7"/>
    <w:rsid w:val="1DB84635"/>
    <w:rsid w:val="1DBF6784"/>
    <w:rsid w:val="1DC03F5F"/>
    <w:rsid w:val="1DC11A56"/>
    <w:rsid w:val="1DCC468E"/>
    <w:rsid w:val="1DCC672F"/>
    <w:rsid w:val="1DD108D2"/>
    <w:rsid w:val="1DD92460"/>
    <w:rsid w:val="1DE15E0C"/>
    <w:rsid w:val="1DE445B8"/>
    <w:rsid w:val="1DED750B"/>
    <w:rsid w:val="1DF904CD"/>
    <w:rsid w:val="1E013712"/>
    <w:rsid w:val="1E150EA8"/>
    <w:rsid w:val="1E361983"/>
    <w:rsid w:val="1E3C35CE"/>
    <w:rsid w:val="1E510682"/>
    <w:rsid w:val="1E535852"/>
    <w:rsid w:val="1E560E8F"/>
    <w:rsid w:val="1E5E150E"/>
    <w:rsid w:val="1E5E60FA"/>
    <w:rsid w:val="1E6375C7"/>
    <w:rsid w:val="1E711E94"/>
    <w:rsid w:val="1E73398F"/>
    <w:rsid w:val="1E7403C7"/>
    <w:rsid w:val="1E8570B8"/>
    <w:rsid w:val="1E8C6402"/>
    <w:rsid w:val="1E8F27A4"/>
    <w:rsid w:val="1E930CD2"/>
    <w:rsid w:val="1EA76DBF"/>
    <w:rsid w:val="1EA966C7"/>
    <w:rsid w:val="1EAB158C"/>
    <w:rsid w:val="1EB24428"/>
    <w:rsid w:val="1EB84EFA"/>
    <w:rsid w:val="1EBC13A5"/>
    <w:rsid w:val="1EC15082"/>
    <w:rsid w:val="1EC31422"/>
    <w:rsid w:val="1EC35910"/>
    <w:rsid w:val="1EC73E39"/>
    <w:rsid w:val="1EC84E81"/>
    <w:rsid w:val="1EE53BFD"/>
    <w:rsid w:val="1EE56832"/>
    <w:rsid w:val="1EEA7E30"/>
    <w:rsid w:val="1EEE2540"/>
    <w:rsid w:val="1EF11AAC"/>
    <w:rsid w:val="1EF800A7"/>
    <w:rsid w:val="1EFE1F92"/>
    <w:rsid w:val="1F0252EB"/>
    <w:rsid w:val="1F1213F1"/>
    <w:rsid w:val="1F1C51FF"/>
    <w:rsid w:val="1F212C3D"/>
    <w:rsid w:val="1F217156"/>
    <w:rsid w:val="1F254DB9"/>
    <w:rsid w:val="1F276F3C"/>
    <w:rsid w:val="1F28649C"/>
    <w:rsid w:val="1F2F3DB9"/>
    <w:rsid w:val="1F351018"/>
    <w:rsid w:val="1F3A0516"/>
    <w:rsid w:val="1F4B6E93"/>
    <w:rsid w:val="1F5005AD"/>
    <w:rsid w:val="1F730357"/>
    <w:rsid w:val="1F7A4217"/>
    <w:rsid w:val="1F7F7D85"/>
    <w:rsid w:val="1F893CCB"/>
    <w:rsid w:val="1F8C39CA"/>
    <w:rsid w:val="1F8E7B66"/>
    <w:rsid w:val="1F9332AA"/>
    <w:rsid w:val="1F954AE8"/>
    <w:rsid w:val="1FA02D6E"/>
    <w:rsid w:val="1FA27229"/>
    <w:rsid w:val="1FA77E30"/>
    <w:rsid w:val="1FB0580B"/>
    <w:rsid w:val="1FBB5224"/>
    <w:rsid w:val="1FC842BF"/>
    <w:rsid w:val="1FC85D83"/>
    <w:rsid w:val="1FCC6EC7"/>
    <w:rsid w:val="1FCD4932"/>
    <w:rsid w:val="1FD01813"/>
    <w:rsid w:val="1FD95774"/>
    <w:rsid w:val="1FDB0D95"/>
    <w:rsid w:val="1FDF7ECA"/>
    <w:rsid w:val="1FE23B28"/>
    <w:rsid w:val="1FEF0943"/>
    <w:rsid w:val="1FF34027"/>
    <w:rsid w:val="1FF478A0"/>
    <w:rsid w:val="1FF928EB"/>
    <w:rsid w:val="200E7263"/>
    <w:rsid w:val="20144356"/>
    <w:rsid w:val="20193D8C"/>
    <w:rsid w:val="20325807"/>
    <w:rsid w:val="20366D40"/>
    <w:rsid w:val="203C4CB0"/>
    <w:rsid w:val="204143B1"/>
    <w:rsid w:val="20450A76"/>
    <w:rsid w:val="20455F9C"/>
    <w:rsid w:val="2048277F"/>
    <w:rsid w:val="204C04BE"/>
    <w:rsid w:val="206A07F8"/>
    <w:rsid w:val="206B290F"/>
    <w:rsid w:val="206C4172"/>
    <w:rsid w:val="206F0AC5"/>
    <w:rsid w:val="20707DFA"/>
    <w:rsid w:val="207666F5"/>
    <w:rsid w:val="20932CDB"/>
    <w:rsid w:val="209677C0"/>
    <w:rsid w:val="209F3380"/>
    <w:rsid w:val="20A65E88"/>
    <w:rsid w:val="20A65EF4"/>
    <w:rsid w:val="20B10175"/>
    <w:rsid w:val="20C279D2"/>
    <w:rsid w:val="20C60424"/>
    <w:rsid w:val="20C64F44"/>
    <w:rsid w:val="20C7708B"/>
    <w:rsid w:val="20CA7E7C"/>
    <w:rsid w:val="20CB3ED6"/>
    <w:rsid w:val="20D16FA3"/>
    <w:rsid w:val="20D32E58"/>
    <w:rsid w:val="20DF4CBB"/>
    <w:rsid w:val="20E26DBB"/>
    <w:rsid w:val="20EB24DE"/>
    <w:rsid w:val="20EB2DA6"/>
    <w:rsid w:val="20F028B9"/>
    <w:rsid w:val="20F16F41"/>
    <w:rsid w:val="20F22CEF"/>
    <w:rsid w:val="21037E22"/>
    <w:rsid w:val="210C0EA0"/>
    <w:rsid w:val="211C3BA4"/>
    <w:rsid w:val="211D6873"/>
    <w:rsid w:val="21276A5E"/>
    <w:rsid w:val="212E1CBD"/>
    <w:rsid w:val="21321215"/>
    <w:rsid w:val="21335A01"/>
    <w:rsid w:val="2135510C"/>
    <w:rsid w:val="21480A25"/>
    <w:rsid w:val="214C6BAE"/>
    <w:rsid w:val="21552859"/>
    <w:rsid w:val="215A038A"/>
    <w:rsid w:val="215F6940"/>
    <w:rsid w:val="21634590"/>
    <w:rsid w:val="216F15AF"/>
    <w:rsid w:val="217219FC"/>
    <w:rsid w:val="217659A6"/>
    <w:rsid w:val="217C0F13"/>
    <w:rsid w:val="218611EF"/>
    <w:rsid w:val="218B5863"/>
    <w:rsid w:val="219342F2"/>
    <w:rsid w:val="21A1056E"/>
    <w:rsid w:val="21C018F9"/>
    <w:rsid w:val="21C82FBB"/>
    <w:rsid w:val="21C927C6"/>
    <w:rsid w:val="21CC6790"/>
    <w:rsid w:val="21DB187D"/>
    <w:rsid w:val="21DD7876"/>
    <w:rsid w:val="21F6798F"/>
    <w:rsid w:val="21F8451D"/>
    <w:rsid w:val="21FC6D7B"/>
    <w:rsid w:val="2207093E"/>
    <w:rsid w:val="220818BA"/>
    <w:rsid w:val="220A51B1"/>
    <w:rsid w:val="220F0C18"/>
    <w:rsid w:val="221141CB"/>
    <w:rsid w:val="221876E8"/>
    <w:rsid w:val="221B2176"/>
    <w:rsid w:val="221D416A"/>
    <w:rsid w:val="221E6431"/>
    <w:rsid w:val="222747E5"/>
    <w:rsid w:val="222A2B5B"/>
    <w:rsid w:val="22337A77"/>
    <w:rsid w:val="223411A9"/>
    <w:rsid w:val="223748D8"/>
    <w:rsid w:val="224C52DC"/>
    <w:rsid w:val="224E1CA7"/>
    <w:rsid w:val="22555196"/>
    <w:rsid w:val="225E47C7"/>
    <w:rsid w:val="225F5C96"/>
    <w:rsid w:val="22625A45"/>
    <w:rsid w:val="227F6DF0"/>
    <w:rsid w:val="228A2CA4"/>
    <w:rsid w:val="228B4B7A"/>
    <w:rsid w:val="228F298E"/>
    <w:rsid w:val="22974EE7"/>
    <w:rsid w:val="229A44F1"/>
    <w:rsid w:val="229F7807"/>
    <w:rsid w:val="22A24C5E"/>
    <w:rsid w:val="22A35A32"/>
    <w:rsid w:val="22B1064A"/>
    <w:rsid w:val="22B70A71"/>
    <w:rsid w:val="22B753BA"/>
    <w:rsid w:val="22BE5C7D"/>
    <w:rsid w:val="22CE5FC7"/>
    <w:rsid w:val="22D57C49"/>
    <w:rsid w:val="22E07C3D"/>
    <w:rsid w:val="22E56693"/>
    <w:rsid w:val="22E616E4"/>
    <w:rsid w:val="22EE7125"/>
    <w:rsid w:val="23016B8A"/>
    <w:rsid w:val="230251D8"/>
    <w:rsid w:val="2305156A"/>
    <w:rsid w:val="23074A23"/>
    <w:rsid w:val="230B162E"/>
    <w:rsid w:val="23182713"/>
    <w:rsid w:val="231D4583"/>
    <w:rsid w:val="232B352E"/>
    <w:rsid w:val="232E6641"/>
    <w:rsid w:val="23357DFB"/>
    <w:rsid w:val="233D2ACD"/>
    <w:rsid w:val="233F280E"/>
    <w:rsid w:val="234D28E2"/>
    <w:rsid w:val="234D5594"/>
    <w:rsid w:val="2350096A"/>
    <w:rsid w:val="23512449"/>
    <w:rsid w:val="2356600E"/>
    <w:rsid w:val="236F4391"/>
    <w:rsid w:val="23877676"/>
    <w:rsid w:val="239514EB"/>
    <w:rsid w:val="23951E5A"/>
    <w:rsid w:val="23AD00CF"/>
    <w:rsid w:val="23AE7EA3"/>
    <w:rsid w:val="23B25C0A"/>
    <w:rsid w:val="23B50250"/>
    <w:rsid w:val="23B700B7"/>
    <w:rsid w:val="23C57084"/>
    <w:rsid w:val="23CA07F3"/>
    <w:rsid w:val="23CF5D80"/>
    <w:rsid w:val="23DB15CF"/>
    <w:rsid w:val="23DD00D9"/>
    <w:rsid w:val="23E0603C"/>
    <w:rsid w:val="23E17D82"/>
    <w:rsid w:val="23EA2678"/>
    <w:rsid w:val="23F16FDB"/>
    <w:rsid w:val="23F60FE4"/>
    <w:rsid w:val="24001973"/>
    <w:rsid w:val="24011809"/>
    <w:rsid w:val="240D6518"/>
    <w:rsid w:val="2412389F"/>
    <w:rsid w:val="24204CC6"/>
    <w:rsid w:val="2420681E"/>
    <w:rsid w:val="243C382B"/>
    <w:rsid w:val="24442805"/>
    <w:rsid w:val="2445694D"/>
    <w:rsid w:val="246074EC"/>
    <w:rsid w:val="2467616D"/>
    <w:rsid w:val="24723B28"/>
    <w:rsid w:val="24730D05"/>
    <w:rsid w:val="24735905"/>
    <w:rsid w:val="247A31E6"/>
    <w:rsid w:val="248804BF"/>
    <w:rsid w:val="248C5C4E"/>
    <w:rsid w:val="248E0DFB"/>
    <w:rsid w:val="248F79DE"/>
    <w:rsid w:val="24947C87"/>
    <w:rsid w:val="24992C2E"/>
    <w:rsid w:val="249B61CC"/>
    <w:rsid w:val="249D30BD"/>
    <w:rsid w:val="24A1514F"/>
    <w:rsid w:val="24B14959"/>
    <w:rsid w:val="24C6792A"/>
    <w:rsid w:val="24C930A9"/>
    <w:rsid w:val="24C9676D"/>
    <w:rsid w:val="24CA4BA9"/>
    <w:rsid w:val="24D0333E"/>
    <w:rsid w:val="24D170D8"/>
    <w:rsid w:val="24D66B6D"/>
    <w:rsid w:val="24D75749"/>
    <w:rsid w:val="24D849AF"/>
    <w:rsid w:val="24D97CA6"/>
    <w:rsid w:val="24DF1C13"/>
    <w:rsid w:val="24DF6F6B"/>
    <w:rsid w:val="24E8440C"/>
    <w:rsid w:val="24E85592"/>
    <w:rsid w:val="24EC3C15"/>
    <w:rsid w:val="24F54D0E"/>
    <w:rsid w:val="24F674A9"/>
    <w:rsid w:val="24F72A09"/>
    <w:rsid w:val="24FA07DE"/>
    <w:rsid w:val="24FC3048"/>
    <w:rsid w:val="25006528"/>
    <w:rsid w:val="2502229D"/>
    <w:rsid w:val="25153262"/>
    <w:rsid w:val="2525444B"/>
    <w:rsid w:val="252B35A0"/>
    <w:rsid w:val="253243ED"/>
    <w:rsid w:val="25395BFA"/>
    <w:rsid w:val="25432438"/>
    <w:rsid w:val="254A2542"/>
    <w:rsid w:val="254B11E9"/>
    <w:rsid w:val="254D696C"/>
    <w:rsid w:val="25515439"/>
    <w:rsid w:val="255514A1"/>
    <w:rsid w:val="25701C90"/>
    <w:rsid w:val="25755168"/>
    <w:rsid w:val="257A7530"/>
    <w:rsid w:val="2583002A"/>
    <w:rsid w:val="25872B30"/>
    <w:rsid w:val="258B7A1A"/>
    <w:rsid w:val="259872EC"/>
    <w:rsid w:val="25A534F7"/>
    <w:rsid w:val="25AF0742"/>
    <w:rsid w:val="25BF3A99"/>
    <w:rsid w:val="25C27640"/>
    <w:rsid w:val="25C51BAF"/>
    <w:rsid w:val="25C56956"/>
    <w:rsid w:val="25D17308"/>
    <w:rsid w:val="25DF2127"/>
    <w:rsid w:val="25E04AC0"/>
    <w:rsid w:val="25E765FB"/>
    <w:rsid w:val="25EE06B1"/>
    <w:rsid w:val="25EF16D6"/>
    <w:rsid w:val="25F44B6B"/>
    <w:rsid w:val="26032DB2"/>
    <w:rsid w:val="260917B6"/>
    <w:rsid w:val="2611428B"/>
    <w:rsid w:val="2613758E"/>
    <w:rsid w:val="26180793"/>
    <w:rsid w:val="26187451"/>
    <w:rsid w:val="261E79A7"/>
    <w:rsid w:val="26233EDE"/>
    <w:rsid w:val="262704AF"/>
    <w:rsid w:val="26393E4B"/>
    <w:rsid w:val="263C3E49"/>
    <w:rsid w:val="263F15D8"/>
    <w:rsid w:val="26433A52"/>
    <w:rsid w:val="26520620"/>
    <w:rsid w:val="265467F9"/>
    <w:rsid w:val="265E0639"/>
    <w:rsid w:val="26600A48"/>
    <w:rsid w:val="266331DB"/>
    <w:rsid w:val="2669134C"/>
    <w:rsid w:val="266E4B68"/>
    <w:rsid w:val="267414ED"/>
    <w:rsid w:val="26771D0F"/>
    <w:rsid w:val="26796197"/>
    <w:rsid w:val="267A25A8"/>
    <w:rsid w:val="267D097A"/>
    <w:rsid w:val="267D4A70"/>
    <w:rsid w:val="26811756"/>
    <w:rsid w:val="26811F8A"/>
    <w:rsid w:val="26842717"/>
    <w:rsid w:val="26887E6F"/>
    <w:rsid w:val="268B73EB"/>
    <w:rsid w:val="268E2699"/>
    <w:rsid w:val="268F67E9"/>
    <w:rsid w:val="26902363"/>
    <w:rsid w:val="26921687"/>
    <w:rsid w:val="2698230F"/>
    <w:rsid w:val="269B1F6B"/>
    <w:rsid w:val="269B6D52"/>
    <w:rsid w:val="269F0358"/>
    <w:rsid w:val="26A626B7"/>
    <w:rsid w:val="26B32270"/>
    <w:rsid w:val="26BC6E06"/>
    <w:rsid w:val="26BD1409"/>
    <w:rsid w:val="26BF09E3"/>
    <w:rsid w:val="26C3722D"/>
    <w:rsid w:val="26C4365A"/>
    <w:rsid w:val="26CD0F41"/>
    <w:rsid w:val="26D309F9"/>
    <w:rsid w:val="26DD484A"/>
    <w:rsid w:val="26E77050"/>
    <w:rsid w:val="26E90A78"/>
    <w:rsid w:val="26ED2E1C"/>
    <w:rsid w:val="26EF6891"/>
    <w:rsid w:val="26F439C9"/>
    <w:rsid w:val="26F54DC3"/>
    <w:rsid w:val="270B714F"/>
    <w:rsid w:val="271022EA"/>
    <w:rsid w:val="27140084"/>
    <w:rsid w:val="27164805"/>
    <w:rsid w:val="27195822"/>
    <w:rsid w:val="2720463B"/>
    <w:rsid w:val="274D36E3"/>
    <w:rsid w:val="27614501"/>
    <w:rsid w:val="27620F5F"/>
    <w:rsid w:val="27666330"/>
    <w:rsid w:val="276B17E5"/>
    <w:rsid w:val="27802818"/>
    <w:rsid w:val="27843004"/>
    <w:rsid w:val="2786663F"/>
    <w:rsid w:val="2788013C"/>
    <w:rsid w:val="278C5988"/>
    <w:rsid w:val="279007FF"/>
    <w:rsid w:val="279236B7"/>
    <w:rsid w:val="27A06958"/>
    <w:rsid w:val="27A37719"/>
    <w:rsid w:val="27A71E26"/>
    <w:rsid w:val="27A85B5D"/>
    <w:rsid w:val="27B235AD"/>
    <w:rsid w:val="27B65C36"/>
    <w:rsid w:val="27B7504B"/>
    <w:rsid w:val="27C6503F"/>
    <w:rsid w:val="27D64AE2"/>
    <w:rsid w:val="27DE464F"/>
    <w:rsid w:val="27E35C43"/>
    <w:rsid w:val="27E40270"/>
    <w:rsid w:val="27F37196"/>
    <w:rsid w:val="27F5055E"/>
    <w:rsid w:val="27F72068"/>
    <w:rsid w:val="27F73717"/>
    <w:rsid w:val="27FE5621"/>
    <w:rsid w:val="28066CC9"/>
    <w:rsid w:val="280D0CC9"/>
    <w:rsid w:val="280D66A1"/>
    <w:rsid w:val="28162EE2"/>
    <w:rsid w:val="28175C27"/>
    <w:rsid w:val="282A2DB6"/>
    <w:rsid w:val="283B1DFA"/>
    <w:rsid w:val="283E14E7"/>
    <w:rsid w:val="285360C1"/>
    <w:rsid w:val="28550CE9"/>
    <w:rsid w:val="285D13A9"/>
    <w:rsid w:val="285D3399"/>
    <w:rsid w:val="287129DC"/>
    <w:rsid w:val="2871429B"/>
    <w:rsid w:val="287350C1"/>
    <w:rsid w:val="28853ADB"/>
    <w:rsid w:val="288F604D"/>
    <w:rsid w:val="289417D6"/>
    <w:rsid w:val="28A32BC5"/>
    <w:rsid w:val="28A414A1"/>
    <w:rsid w:val="28A73882"/>
    <w:rsid w:val="28B65967"/>
    <w:rsid w:val="28CE3078"/>
    <w:rsid w:val="28CF004C"/>
    <w:rsid w:val="28D41273"/>
    <w:rsid w:val="28D75AAE"/>
    <w:rsid w:val="28E000AB"/>
    <w:rsid w:val="28E35EBA"/>
    <w:rsid w:val="28F2134F"/>
    <w:rsid w:val="28F41481"/>
    <w:rsid w:val="28FD17EC"/>
    <w:rsid w:val="29052F62"/>
    <w:rsid w:val="290C442F"/>
    <w:rsid w:val="29140276"/>
    <w:rsid w:val="29226537"/>
    <w:rsid w:val="293402C8"/>
    <w:rsid w:val="29361E74"/>
    <w:rsid w:val="293704BD"/>
    <w:rsid w:val="293D0885"/>
    <w:rsid w:val="293F35B8"/>
    <w:rsid w:val="295860E9"/>
    <w:rsid w:val="296318F0"/>
    <w:rsid w:val="296D100C"/>
    <w:rsid w:val="296D3E2F"/>
    <w:rsid w:val="29753601"/>
    <w:rsid w:val="297724C5"/>
    <w:rsid w:val="299348EF"/>
    <w:rsid w:val="29986C5D"/>
    <w:rsid w:val="299F2A32"/>
    <w:rsid w:val="29A07066"/>
    <w:rsid w:val="29A86CB8"/>
    <w:rsid w:val="29D77645"/>
    <w:rsid w:val="29DC650B"/>
    <w:rsid w:val="29E67F14"/>
    <w:rsid w:val="29F92B19"/>
    <w:rsid w:val="29FA158A"/>
    <w:rsid w:val="29FB593E"/>
    <w:rsid w:val="2A0D0BEC"/>
    <w:rsid w:val="2A131020"/>
    <w:rsid w:val="2A143D04"/>
    <w:rsid w:val="2A1F404C"/>
    <w:rsid w:val="2A1F775C"/>
    <w:rsid w:val="2A2013EB"/>
    <w:rsid w:val="2A287B7B"/>
    <w:rsid w:val="2A2B378D"/>
    <w:rsid w:val="2A3A0F86"/>
    <w:rsid w:val="2A4169D7"/>
    <w:rsid w:val="2A461D92"/>
    <w:rsid w:val="2A4F03FB"/>
    <w:rsid w:val="2A531705"/>
    <w:rsid w:val="2A532F0F"/>
    <w:rsid w:val="2A5333FE"/>
    <w:rsid w:val="2A541FD5"/>
    <w:rsid w:val="2A61313B"/>
    <w:rsid w:val="2A661268"/>
    <w:rsid w:val="2A687684"/>
    <w:rsid w:val="2A690507"/>
    <w:rsid w:val="2A7569F4"/>
    <w:rsid w:val="2A844A23"/>
    <w:rsid w:val="2A906339"/>
    <w:rsid w:val="2A92352A"/>
    <w:rsid w:val="2A9310E4"/>
    <w:rsid w:val="2A937D48"/>
    <w:rsid w:val="2A975A3E"/>
    <w:rsid w:val="2A9C0E84"/>
    <w:rsid w:val="2AA03ECD"/>
    <w:rsid w:val="2AA20801"/>
    <w:rsid w:val="2AAF7300"/>
    <w:rsid w:val="2AB35603"/>
    <w:rsid w:val="2AB713EB"/>
    <w:rsid w:val="2AB87157"/>
    <w:rsid w:val="2AB90808"/>
    <w:rsid w:val="2AC35765"/>
    <w:rsid w:val="2AC77230"/>
    <w:rsid w:val="2AC902E9"/>
    <w:rsid w:val="2ACE6E62"/>
    <w:rsid w:val="2AD078D8"/>
    <w:rsid w:val="2AD27DF8"/>
    <w:rsid w:val="2AD35975"/>
    <w:rsid w:val="2AD56766"/>
    <w:rsid w:val="2ADD7513"/>
    <w:rsid w:val="2ADE5A9A"/>
    <w:rsid w:val="2AE278D5"/>
    <w:rsid w:val="2AE4285A"/>
    <w:rsid w:val="2AE7743B"/>
    <w:rsid w:val="2B0975D5"/>
    <w:rsid w:val="2B161EAE"/>
    <w:rsid w:val="2B181E15"/>
    <w:rsid w:val="2B2D0F07"/>
    <w:rsid w:val="2B404DF3"/>
    <w:rsid w:val="2B4C5204"/>
    <w:rsid w:val="2B546879"/>
    <w:rsid w:val="2B6067DF"/>
    <w:rsid w:val="2B660AC6"/>
    <w:rsid w:val="2B6A4F42"/>
    <w:rsid w:val="2B712ED3"/>
    <w:rsid w:val="2B794DAF"/>
    <w:rsid w:val="2B7E5128"/>
    <w:rsid w:val="2B8E48EA"/>
    <w:rsid w:val="2B8F3E7C"/>
    <w:rsid w:val="2B8F4018"/>
    <w:rsid w:val="2B90145B"/>
    <w:rsid w:val="2B944007"/>
    <w:rsid w:val="2B946FDE"/>
    <w:rsid w:val="2B9524DF"/>
    <w:rsid w:val="2B9B7EE8"/>
    <w:rsid w:val="2BA11A24"/>
    <w:rsid w:val="2BAC29C8"/>
    <w:rsid w:val="2BAF0FCC"/>
    <w:rsid w:val="2BB074E6"/>
    <w:rsid w:val="2BB11BA3"/>
    <w:rsid w:val="2BB3413A"/>
    <w:rsid w:val="2BB84042"/>
    <w:rsid w:val="2BCF2476"/>
    <w:rsid w:val="2BD07EE9"/>
    <w:rsid w:val="2BD84E8E"/>
    <w:rsid w:val="2BDB1790"/>
    <w:rsid w:val="2BE41E72"/>
    <w:rsid w:val="2BE92E63"/>
    <w:rsid w:val="2BEA604E"/>
    <w:rsid w:val="2BF16A80"/>
    <w:rsid w:val="2BF67BF0"/>
    <w:rsid w:val="2C017359"/>
    <w:rsid w:val="2C033E6D"/>
    <w:rsid w:val="2C3C740C"/>
    <w:rsid w:val="2C52192D"/>
    <w:rsid w:val="2C532501"/>
    <w:rsid w:val="2C57562D"/>
    <w:rsid w:val="2C5E2811"/>
    <w:rsid w:val="2C637079"/>
    <w:rsid w:val="2C6F5151"/>
    <w:rsid w:val="2C737D53"/>
    <w:rsid w:val="2C752592"/>
    <w:rsid w:val="2C860A51"/>
    <w:rsid w:val="2C890182"/>
    <w:rsid w:val="2C8C6421"/>
    <w:rsid w:val="2C8D1C6B"/>
    <w:rsid w:val="2C9402CA"/>
    <w:rsid w:val="2CAB1467"/>
    <w:rsid w:val="2CC72440"/>
    <w:rsid w:val="2CD053BD"/>
    <w:rsid w:val="2CDC6A17"/>
    <w:rsid w:val="2CE862A6"/>
    <w:rsid w:val="2CEA0468"/>
    <w:rsid w:val="2CED45F7"/>
    <w:rsid w:val="2CF11C8C"/>
    <w:rsid w:val="2D0069B4"/>
    <w:rsid w:val="2D03421C"/>
    <w:rsid w:val="2D171865"/>
    <w:rsid w:val="2D1A5756"/>
    <w:rsid w:val="2D1C5F3E"/>
    <w:rsid w:val="2D291565"/>
    <w:rsid w:val="2D433487"/>
    <w:rsid w:val="2D437483"/>
    <w:rsid w:val="2D5249D1"/>
    <w:rsid w:val="2D57715C"/>
    <w:rsid w:val="2D620EFE"/>
    <w:rsid w:val="2D636E4A"/>
    <w:rsid w:val="2D667938"/>
    <w:rsid w:val="2D6C3260"/>
    <w:rsid w:val="2D6F5A43"/>
    <w:rsid w:val="2D714213"/>
    <w:rsid w:val="2D781D43"/>
    <w:rsid w:val="2D7860C3"/>
    <w:rsid w:val="2D7E1A80"/>
    <w:rsid w:val="2D852BB6"/>
    <w:rsid w:val="2D974F3E"/>
    <w:rsid w:val="2D984C5A"/>
    <w:rsid w:val="2D9B16BD"/>
    <w:rsid w:val="2DA436A6"/>
    <w:rsid w:val="2DAD3E54"/>
    <w:rsid w:val="2DB36B58"/>
    <w:rsid w:val="2DB40C8C"/>
    <w:rsid w:val="2DB643AA"/>
    <w:rsid w:val="2DBA69E7"/>
    <w:rsid w:val="2DBD48E4"/>
    <w:rsid w:val="2DC21F73"/>
    <w:rsid w:val="2DC762AA"/>
    <w:rsid w:val="2DC934F8"/>
    <w:rsid w:val="2DDC0977"/>
    <w:rsid w:val="2DDC34B9"/>
    <w:rsid w:val="2DE82142"/>
    <w:rsid w:val="2DEB31CA"/>
    <w:rsid w:val="2DF56725"/>
    <w:rsid w:val="2DFC2A0F"/>
    <w:rsid w:val="2E017E42"/>
    <w:rsid w:val="2E0224A8"/>
    <w:rsid w:val="2E056DE4"/>
    <w:rsid w:val="2E1131B0"/>
    <w:rsid w:val="2E1A69D2"/>
    <w:rsid w:val="2E247211"/>
    <w:rsid w:val="2E350EAB"/>
    <w:rsid w:val="2E4E266F"/>
    <w:rsid w:val="2E4E5A2D"/>
    <w:rsid w:val="2E6D65FD"/>
    <w:rsid w:val="2E7630C6"/>
    <w:rsid w:val="2E764053"/>
    <w:rsid w:val="2E7F5C15"/>
    <w:rsid w:val="2E825FF2"/>
    <w:rsid w:val="2E8434C2"/>
    <w:rsid w:val="2E9253D7"/>
    <w:rsid w:val="2E93542D"/>
    <w:rsid w:val="2E9B2660"/>
    <w:rsid w:val="2EA43005"/>
    <w:rsid w:val="2EAC7802"/>
    <w:rsid w:val="2EAE1E09"/>
    <w:rsid w:val="2EB5032D"/>
    <w:rsid w:val="2EC453A2"/>
    <w:rsid w:val="2ED158EE"/>
    <w:rsid w:val="2EE908AF"/>
    <w:rsid w:val="2EEE6EC9"/>
    <w:rsid w:val="2EF038BD"/>
    <w:rsid w:val="2EF432E8"/>
    <w:rsid w:val="2EFC1467"/>
    <w:rsid w:val="2EFE3623"/>
    <w:rsid w:val="2F150A08"/>
    <w:rsid w:val="2F153757"/>
    <w:rsid w:val="2F217B60"/>
    <w:rsid w:val="2F2425E0"/>
    <w:rsid w:val="2F344530"/>
    <w:rsid w:val="2F3E72B1"/>
    <w:rsid w:val="2F46339D"/>
    <w:rsid w:val="2F4A6D67"/>
    <w:rsid w:val="2F560A00"/>
    <w:rsid w:val="2F571D49"/>
    <w:rsid w:val="2F5E5727"/>
    <w:rsid w:val="2F6126A2"/>
    <w:rsid w:val="2F6421E0"/>
    <w:rsid w:val="2F6479F4"/>
    <w:rsid w:val="2F780994"/>
    <w:rsid w:val="2F7D355D"/>
    <w:rsid w:val="2F7E0DDF"/>
    <w:rsid w:val="2F81210B"/>
    <w:rsid w:val="2F826105"/>
    <w:rsid w:val="2F8C0219"/>
    <w:rsid w:val="2FA22965"/>
    <w:rsid w:val="2FAA043B"/>
    <w:rsid w:val="2FB23388"/>
    <w:rsid w:val="2FB425F3"/>
    <w:rsid w:val="2FB6309F"/>
    <w:rsid w:val="2FB94D30"/>
    <w:rsid w:val="2FBA5D7D"/>
    <w:rsid w:val="2FC52045"/>
    <w:rsid w:val="2FCD2D78"/>
    <w:rsid w:val="2FE07AC4"/>
    <w:rsid w:val="2FE55CA9"/>
    <w:rsid w:val="2FFA4973"/>
    <w:rsid w:val="300204E6"/>
    <w:rsid w:val="30025CC9"/>
    <w:rsid w:val="30036441"/>
    <w:rsid w:val="300635B2"/>
    <w:rsid w:val="300D263B"/>
    <w:rsid w:val="30135890"/>
    <w:rsid w:val="30270F38"/>
    <w:rsid w:val="30276902"/>
    <w:rsid w:val="30282C52"/>
    <w:rsid w:val="30353E8E"/>
    <w:rsid w:val="30353EF9"/>
    <w:rsid w:val="30367225"/>
    <w:rsid w:val="3042487F"/>
    <w:rsid w:val="30460335"/>
    <w:rsid w:val="30522758"/>
    <w:rsid w:val="30531B86"/>
    <w:rsid w:val="305C20C2"/>
    <w:rsid w:val="305F63EE"/>
    <w:rsid w:val="30610887"/>
    <w:rsid w:val="3078716A"/>
    <w:rsid w:val="30795E18"/>
    <w:rsid w:val="30796B78"/>
    <w:rsid w:val="308504F4"/>
    <w:rsid w:val="30850F10"/>
    <w:rsid w:val="308C225B"/>
    <w:rsid w:val="308C6A3E"/>
    <w:rsid w:val="308C788A"/>
    <w:rsid w:val="308D07D7"/>
    <w:rsid w:val="308D6FB8"/>
    <w:rsid w:val="308E4BBD"/>
    <w:rsid w:val="308F2D5C"/>
    <w:rsid w:val="3095631B"/>
    <w:rsid w:val="309B68C9"/>
    <w:rsid w:val="30A66A4E"/>
    <w:rsid w:val="30B112E6"/>
    <w:rsid w:val="30BA5D6C"/>
    <w:rsid w:val="30C018BC"/>
    <w:rsid w:val="30C531CB"/>
    <w:rsid w:val="30C91BF2"/>
    <w:rsid w:val="30D73535"/>
    <w:rsid w:val="30DC3743"/>
    <w:rsid w:val="30E13E0C"/>
    <w:rsid w:val="30EA6915"/>
    <w:rsid w:val="30EE7630"/>
    <w:rsid w:val="30F47977"/>
    <w:rsid w:val="30F644A5"/>
    <w:rsid w:val="30FB58DD"/>
    <w:rsid w:val="30FD6602"/>
    <w:rsid w:val="31007929"/>
    <w:rsid w:val="31034922"/>
    <w:rsid w:val="31085171"/>
    <w:rsid w:val="31092191"/>
    <w:rsid w:val="310C682F"/>
    <w:rsid w:val="310D3334"/>
    <w:rsid w:val="31162497"/>
    <w:rsid w:val="312079DD"/>
    <w:rsid w:val="312852AD"/>
    <w:rsid w:val="31350510"/>
    <w:rsid w:val="3139483D"/>
    <w:rsid w:val="313C7BC6"/>
    <w:rsid w:val="313D4D78"/>
    <w:rsid w:val="3141393B"/>
    <w:rsid w:val="314220BF"/>
    <w:rsid w:val="314D0B44"/>
    <w:rsid w:val="31511DCF"/>
    <w:rsid w:val="315A13F6"/>
    <w:rsid w:val="315B7D6B"/>
    <w:rsid w:val="315B7D73"/>
    <w:rsid w:val="315F7F9B"/>
    <w:rsid w:val="31661F26"/>
    <w:rsid w:val="31675C86"/>
    <w:rsid w:val="316A71F6"/>
    <w:rsid w:val="316F2C59"/>
    <w:rsid w:val="317D4A2D"/>
    <w:rsid w:val="317F7B65"/>
    <w:rsid w:val="31882839"/>
    <w:rsid w:val="318878F8"/>
    <w:rsid w:val="31942C78"/>
    <w:rsid w:val="3197046A"/>
    <w:rsid w:val="31976D1C"/>
    <w:rsid w:val="319C3037"/>
    <w:rsid w:val="319F35B6"/>
    <w:rsid w:val="319F37F8"/>
    <w:rsid w:val="31A214F3"/>
    <w:rsid w:val="31A519B6"/>
    <w:rsid w:val="31AE24BF"/>
    <w:rsid w:val="31AE556A"/>
    <w:rsid w:val="31BB18EF"/>
    <w:rsid w:val="31C7471D"/>
    <w:rsid w:val="31CB79C1"/>
    <w:rsid w:val="31D20899"/>
    <w:rsid w:val="31D5771E"/>
    <w:rsid w:val="31D83F38"/>
    <w:rsid w:val="31D964A0"/>
    <w:rsid w:val="31DD7FBE"/>
    <w:rsid w:val="31E05B00"/>
    <w:rsid w:val="31E37BD1"/>
    <w:rsid w:val="31EC7082"/>
    <w:rsid w:val="31EF641D"/>
    <w:rsid w:val="31F8007A"/>
    <w:rsid w:val="31FA4854"/>
    <w:rsid w:val="321D0651"/>
    <w:rsid w:val="322335EF"/>
    <w:rsid w:val="32270B61"/>
    <w:rsid w:val="32275B6C"/>
    <w:rsid w:val="323B6244"/>
    <w:rsid w:val="326A1BE4"/>
    <w:rsid w:val="326C64CE"/>
    <w:rsid w:val="3273791F"/>
    <w:rsid w:val="32774C9D"/>
    <w:rsid w:val="3278611A"/>
    <w:rsid w:val="327E6094"/>
    <w:rsid w:val="3287377F"/>
    <w:rsid w:val="329731BC"/>
    <w:rsid w:val="32980F73"/>
    <w:rsid w:val="32A57563"/>
    <w:rsid w:val="32AC0638"/>
    <w:rsid w:val="32BC7ED2"/>
    <w:rsid w:val="32C24C3E"/>
    <w:rsid w:val="32C93C17"/>
    <w:rsid w:val="32CC2189"/>
    <w:rsid w:val="32DD06BD"/>
    <w:rsid w:val="32E4521E"/>
    <w:rsid w:val="32E613BE"/>
    <w:rsid w:val="32E70287"/>
    <w:rsid w:val="32E7603D"/>
    <w:rsid w:val="32EC17E6"/>
    <w:rsid w:val="32EF6FC9"/>
    <w:rsid w:val="32F1285E"/>
    <w:rsid w:val="32F555E9"/>
    <w:rsid w:val="33003C0E"/>
    <w:rsid w:val="330813E9"/>
    <w:rsid w:val="331477F5"/>
    <w:rsid w:val="331A2511"/>
    <w:rsid w:val="331F22BD"/>
    <w:rsid w:val="33205E05"/>
    <w:rsid w:val="33236153"/>
    <w:rsid w:val="33256A54"/>
    <w:rsid w:val="332879D9"/>
    <w:rsid w:val="332A4CE7"/>
    <w:rsid w:val="333C0B95"/>
    <w:rsid w:val="333D5E37"/>
    <w:rsid w:val="333F6EB5"/>
    <w:rsid w:val="33433D9F"/>
    <w:rsid w:val="334F6B93"/>
    <w:rsid w:val="335B202B"/>
    <w:rsid w:val="33753B52"/>
    <w:rsid w:val="337E4789"/>
    <w:rsid w:val="337F194A"/>
    <w:rsid w:val="33964265"/>
    <w:rsid w:val="339A18D4"/>
    <w:rsid w:val="33B001FB"/>
    <w:rsid w:val="33C57CD6"/>
    <w:rsid w:val="33CF4F0C"/>
    <w:rsid w:val="33D855F1"/>
    <w:rsid w:val="33DC524F"/>
    <w:rsid w:val="33EF2839"/>
    <w:rsid w:val="33F43803"/>
    <w:rsid w:val="33F73288"/>
    <w:rsid w:val="33FF2456"/>
    <w:rsid w:val="340569FC"/>
    <w:rsid w:val="34070A72"/>
    <w:rsid w:val="341062F8"/>
    <w:rsid w:val="3411759C"/>
    <w:rsid w:val="343109E3"/>
    <w:rsid w:val="34461AE9"/>
    <w:rsid w:val="344B59B2"/>
    <w:rsid w:val="34547B12"/>
    <w:rsid w:val="34551D07"/>
    <w:rsid w:val="34585410"/>
    <w:rsid w:val="34593F28"/>
    <w:rsid w:val="345E204F"/>
    <w:rsid w:val="34683298"/>
    <w:rsid w:val="34790557"/>
    <w:rsid w:val="3483735E"/>
    <w:rsid w:val="348647D8"/>
    <w:rsid w:val="34902DE6"/>
    <w:rsid w:val="349638FE"/>
    <w:rsid w:val="349F269F"/>
    <w:rsid w:val="34A01296"/>
    <w:rsid w:val="34AD636D"/>
    <w:rsid w:val="34AE2DD4"/>
    <w:rsid w:val="34BD0B23"/>
    <w:rsid w:val="34BE2D10"/>
    <w:rsid w:val="34C02CE6"/>
    <w:rsid w:val="34C2011F"/>
    <w:rsid w:val="34C224C9"/>
    <w:rsid w:val="34D26CFA"/>
    <w:rsid w:val="34D35AEF"/>
    <w:rsid w:val="34D37972"/>
    <w:rsid w:val="34D77C51"/>
    <w:rsid w:val="34DF5F9A"/>
    <w:rsid w:val="34F538F6"/>
    <w:rsid w:val="34FF11D3"/>
    <w:rsid w:val="34FF680D"/>
    <w:rsid w:val="35012562"/>
    <w:rsid w:val="35021B23"/>
    <w:rsid w:val="350301A9"/>
    <w:rsid w:val="35045BB5"/>
    <w:rsid w:val="35130D18"/>
    <w:rsid w:val="35194A87"/>
    <w:rsid w:val="352F60E7"/>
    <w:rsid w:val="35437BC5"/>
    <w:rsid w:val="35442DD4"/>
    <w:rsid w:val="35533710"/>
    <w:rsid w:val="35560328"/>
    <w:rsid w:val="355C2E36"/>
    <w:rsid w:val="355D76FF"/>
    <w:rsid w:val="35616489"/>
    <w:rsid w:val="35616763"/>
    <w:rsid w:val="35636AB2"/>
    <w:rsid w:val="35671005"/>
    <w:rsid w:val="357836AB"/>
    <w:rsid w:val="357A38F4"/>
    <w:rsid w:val="35800833"/>
    <w:rsid w:val="35836249"/>
    <w:rsid w:val="35861FA6"/>
    <w:rsid w:val="358E1D3E"/>
    <w:rsid w:val="3591470A"/>
    <w:rsid w:val="359D1070"/>
    <w:rsid w:val="35A163C6"/>
    <w:rsid w:val="35A23180"/>
    <w:rsid w:val="35AA790F"/>
    <w:rsid w:val="35B40B4F"/>
    <w:rsid w:val="35B64FD1"/>
    <w:rsid w:val="35BC1174"/>
    <w:rsid w:val="35C34512"/>
    <w:rsid w:val="35D265DF"/>
    <w:rsid w:val="35D9426F"/>
    <w:rsid w:val="35EA4E33"/>
    <w:rsid w:val="35F02EF3"/>
    <w:rsid w:val="35F14EC0"/>
    <w:rsid w:val="35F43894"/>
    <w:rsid w:val="35F46F3F"/>
    <w:rsid w:val="35FB7238"/>
    <w:rsid w:val="35FC1C79"/>
    <w:rsid w:val="35FF7227"/>
    <w:rsid w:val="36022912"/>
    <w:rsid w:val="36135265"/>
    <w:rsid w:val="36196EEB"/>
    <w:rsid w:val="362A3423"/>
    <w:rsid w:val="362A38BC"/>
    <w:rsid w:val="362C2535"/>
    <w:rsid w:val="362F1A0D"/>
    <w:rsid w:val="36350BD3"/>
    <w:rsid w:val="36483A67"/>
    <w:rsid w:val="364A02EC"/>
    <w:rsid w:val="3650146C"/>
    <w:rsid w:val="36520761"/>
    <w:rsid w:val="365F59C0"/>
    <w:rsid w:val="366C3CE2"/>
    <w:rsid w:val="367B1171"/>
    <w:rsid w:val="367F3196"/>
    <w:rsid w:val="36833A82"/>
    <w:rsid w:val="368A3C4E"/>
    <w:rsid w:val="36915CB2"/>
    <w:rsid w:val="3696799C"/>
    <w:rsid w:val="369807AB"/>
    <w:rsid w:val="36A237C3"/>
    <w:rsid w:val="36AC704D"/>
    <w:rsid w:val="36BA5016"/>
    <w:rsid w:val="36C0677F"/>
    <w:rsid w:val="36CC5901"/>
    <w:rsid w:val="36D06648"/>
    <w:rsid w:val="36D07EF3"/>
    <w:rsid w:val="36D25674"/>
    <w:rsid w:val="36E04AD7"/>
    <w:rsid w:val="36E37CC7"/>
    <w:rsid w:val="36E5485E"/>
    <w:rsid w:val="36E56E85"/>
    <w:rsid w:val="36E677B1"/>
    <w:rsid w:val="36EB489B"/>
    <w:rsid w:val="36EC04C3"/>
    <w:rsid w:val="36F37220"/>
    <w:rsid w:val="36F804D6"/>
    <w:rsid w:val="37036FE3"/>
    <w:rsid w:val="370779CB"/>
    <w:rsid w:val="370C5888"/>
    <w:rsid w:val="370F5DC3"/>
    <w:rsid w:val="37117915"/>
    <w:rsid w:val="37156E50"/>
    <w:rsid w:val="37250B0B"/>
    <w:rsid w:val="373056A4"/>
    <w:rsid w:val="373569A8"/>
    <w:rsid w:val="373A2E6A"/>
    <w:rsid w:val="37423050"/>
    <w:rsid w:val="3747513E"/>
    <w:rsid w:val="375074D5"/>
    <w:rsid w:val="375756CE"/>
    <w:rsid w:val="37597BA6"/>
    <w:rsid w:val="375B6D73"/>
    <w:rsid w:val="376D0660"/>
    <w:rsid w:val="376F0686"/>
    <w:rsid w:val="376F35B2"/>
    <w:rsid w:val="37736975"/>
    <w:rsid w:val="378752BD"/>
    <w:rsid w:val="378B067E"/>
    <w:rsid w:val="379151F3"/>
    <w:rsid w:val="37AA6E95"/>
    <w:rsid w:val="37B508A0"/>
    <w:rsid w:val="37B925B9"/>
    <w:rsid w:val="37BC32F4"/>
    <w:rsid w:val="37BF5EB8"/>
    <w:rsid w:val="37C20726"/>
    <w:rsid w:val="37C746A0"/>
    <w:rsid w:val="37CD79C5"/>
    <w:rsid w:val="37D76611"/>
    <w:rsid w:val="37DE71C1"/>
    <w:rsid w:val="37E03871"/>
    <w:rsid w:val="37E076CA"/>
    <w:rsid w:val="37E72FB2"/>
    <w:rsid w:val="37E83C81"/>
    <w:rsid w:val="37F03271"/>
    <w:rsid w:val="37F720BC"/>
    <w:rsid w:val="380C75DB"/>
    <w:rsid w:val="380D1961"/>
    <w:rsid w:val="38125DB1"/>
    <w:rsid w:val="3816590D"/>
    <w:rsid w:val="38217885"/>
    <w:rsid w:val="38281DC9"/>
    <w:rsid w:val="382B5548"/>
    <w:rsid w:val="384A0A09"/>
    <w:rsid w:val="384B7F36"/>
    <w:rsid w:val="384E02BB"/>
    <w:rsid w:val="384E6F01"/>
    <w:rsid w:val="38513460"/>
    <w:rsid w:val="385A2412"/>
    <w:rsid w:val="38661616"/>
    <w:rsid w:val="386F44D8"/>
    <w:rsid w:val="38784FDC"/>
    <w:rsid w:val="387A0D22"/>
    <w:rsid w:val="387A2339"/>
    <w:rsid w:val="387C1D6D"/>
    <w:rsid w:val="388548C2"/>
    <w:rsid w:val="38880168"/>
    <w:rsid w:val="389A4A98"/>
    <w:rsid w:val="389E29D4"/>
    <w:rsid w:val="389F2D7F"/>
    <w:rsid w:val="38A255C3"/>
    <w:rsid w:val="38A64065"/>
    <w:rsid w:val="38A815D4"/>
    <w:rsid w:val="38AC3E74"/>
    <w:rsid w:val="38AC46CD"/>
    <w:rsid w:val="38B213D3"/>
    <w:rsid w:val="38BA2E22"/>
    <w:rsid w:val="38BC4F46"/>
    <w:rsid w:val="38BF24D6"/>
    <w:rsid w:val="38C2123C"/>
    <w:rsid w:val="38CB7CCA"/>
    <w:rsid w:val="38D0503B"/>
    <w:rsid w:val="38D233FA"/>
    <w:rsid w:val="38D37C0D"/>
    <w:rsid w:val="38D43BCE"/>
    <w:rsid w:val="38D95ADE"/>
    <w:rsid w:val="38DF34B2"/>
    <w:rsid w:val="38E26073"/>
    <w:rsid w:val="38E72F19"/>
    <w:rsid w:val="38EB3532"/>
    <w:rsid w:val="38F750F1"/>
    <w:rsid w:val="38FD34A3"/>
    <w:rsid w:val="390214B7"/>
    <w:rsid w:val="39067A8E"/>
    <w:rsid w:val="39081ED2"/>
    <w:rsid w:val="3908323F"/>
    <w:rsid w:val="39154CE8"/>
    <w:rsid w:val="391B274A"/>
    <w:rsid w:val="392A76D0"/>
    <w:rsid w:val="39401815"/>
    <w:rsid w:val="39427EDD"/>
    <w:rsid w:val="39457702"/>
    <w:rsid w:val="3948125C"/>
    <w:rsid w:val="397437A1"/>
    <w:rsid w:val="39874E31"/>
    <w:rsid w:val="399E6C02"/>
    <w:rsid w:val="39AE4056"/>
    <w:rsid w:val="39B8060A"/>
    <w:rsid w:val="39CA7F30"/>
    <w:rsid w:val="39CB39D6"/>
    <w:rsid w:val="39D26B30"/>
    <w:rsid w:val="39DA4007"/>
    <w:rsid w:val="39E745C1"/>
    <w:rsid w:val="39EB28CA"/>
    <w:rsid w:val="39ED6F48"/>
    <w:rsid w:val="3A0259EE"/>
    <w:rsid w:val="3A0F6336"/>
    <w:rsid w:val="3A11577C"/>
    <w:rsid w:val="3A1530F4"/>
    <w:rsid w:val="3A2218D5"/>
    <w:rsid w:val="3A312513"/>
    <w:rsid w:val="3A344194"/>
    <w:rsid w:val="3A3838BE"/>
    <w:rsid w:val="3A3912EC"/>
    <w:rsid w:val="3A445698"/>
    <w:rsid w:val="3A4D7585"/>
    <w:rsid w:val="3A4F0473"/>
    <w:rsid w:val="3A514ED5"/>
    <w:rsid w:val="3A535337"/>
    <w:rsid w:val="3A5D01D6"/>
    <w:rsid w:val="3A62430C"/>
    <w:rsid w:val="3A6A548D"/>
    <w:rsid w:val="3A7D61CC"/>
    <w:rsid w:val="3A7E700B"/>
    <w:rsid w:val="3A891FD5"/>
    <w:rsid w:val="3A8A0C83"/>
    <w:rsid w:val="3A8A1132"/>
    <w:rsid w:val="3A8B71F5"/>
    <w:rsid w:val="3A8C0451"/>
    <w:rsid w:val="3A905CF2"/>
    <w:rsid w:val="3A955548"/>
    <w:rsid w:val="3A9B0AF0"/>
    <w:rsid w:val="3A9F2324"/>
    <w:rsid w:val="3AAF2291"/>
    <w:rsid w:val="3AB7537F"/>
    <w:rsid w:val="3AC4483F"/>
    <w:rsid w:val="3ACF59D4"/>
    <w:rsid w:val="3AD72CCB"/>
    <w:rsid w:val="3AD80BD2"/>
    <w:rsid w:val="3ADF5EAC"/>
    <w:rsid w:val="3AE129AB"/>
    <w:rsid w:val="3AE22A0C"/>
    <w:rsid w:val="3AF12A72"/>
    <w:rsid w:val="3AF51C8F"/>
    <w:rsid w:val="3AFA633A"/>
    <w:rsid w:val="3B12085E"/>
    <w:rsid w:val="3B123338"/>
    <w:rsid w:val="3B1626B5"/>
    <w:rsid w:val="3B217882"/>
    <w:rsid w:val="3B2B7A49"/>
    <w:rsid w:val="3B2C2478"/>
    <w:rsid w:val="3B435195"/>
    <w:rsid w:val="3B443494"/>
    <w:rsid w:val="3B5042A7"/>
    <w:rsid w:val="3B5277A8"/>
    <w:rsid w:val="3B5B51BA"/>
    <w:rsid w:val="3B6B49ED"/>
    <w:rsid w:val="3B6F66A5"/>
    <w:rsid w:val="3B734785"/>
    <w:rsid w:val="3B7B29BE"/>
    <w:rsid w:val="3B85508F"/>
    <w:rsid w:val="3B9927EC"/>
    <w:rsid w:val="3BA32A3E"/>
    <w:rsid w:val="3BB0761C"/>
    <w:rsid w:val="3BB3780E"/>
    <w:rsid w:val="3BB723BA"/>
    <w:rsid w:val="3BD05243"/>
    <w:rsid w:val="3BD07E41"/>
    <w:rsid w:val="3BD269A3"/>
    <w:rsid w:val="3BDE4F90"/>
    <w:rsid w:val="3BE90A40"/>
    <w:rsid w:val="3BF01A7A"/>
    <w:rsid w:val="3BF05586"/>
    <w:rsid w:val="3BF849DD"/>
    <w:rsid w:val="3BFA3A0B"/>
    <w:rsid w:val="3C1C4A1C"/>
    <w:rsid w:val="3C283895"/>
    <w:rsid w:val="3C2E346D"/>
    <w:rsid w:val="3C300464"/>
    <w:rsid w:val="3C31577E"/>
    <w:rsid w:val="3C402344"/>
    <w:rsid w:val="3C4125F1"/>
    <w:rsid w:val="3C537B2F"/>
    <w:rsid w:val="3C571DB9"/>
    <w:rsid w:val="3C5A6791"/>
    <w:rsid w:val="3C5D5FFE"/>
    <w:rsid w:val="3C6541EF"/>
    <w:rsid w:val="3C660ECB"/>
    <w:rsid w:val="3C68079B"/>
    <w:rsid w:val="3C6B1FC3"/>
    <w:rsid w:val="3C861B91"/>
    <w:rsid w:val="3C8C221A"/>
    <w:rsid w:val="3C982923"/>
    <w:rsid w:val="3C9C315A"/>
    <w:rsid w:val="3C9F746E"/>
    <w:rsid w:val="3CAF5D3B"/>
    <w:rsid w:val="3CBC0F60"/>
    <w:rsid w:val="3CBE57BB"/>
    <w:rsid w:val="3CC11D1F"/>
    <w:rsid w:val="3CC33FB9"/>
    <w:rsid w:val="3CC35875"/>
    <w:rsid w:val="3CD11B71"/>
    <w:rsid w:val="3CD61953"/>
    <w:rsid w:val="3CD90392"/>
    <w:rsid w:val="3CF6296D"/>
    <w:rsid w:val="3CFE4607"/>
    <w:rsid w:val="3CFF2043"/>
    <w:rsid w:val="3D0450DB"/>
    <w:rsid w:val="3D0C709D"/>
    <w:rsid w:val="3D12562F"/>
    <w:rsid w:val="3D1D7751"/>
    <w:rsid w:val="3D2B64CD"/>
    <w:rsid w:val="3D2E6B1A"/>
    <w:rsid w:val="3D340BC2"/>
    <w:rsid w:val="3D547984"/>
    <w:rsid w:val="3D5F17A2"/>
    <w:rsid w:val="3D6148DC"/>
    <w:rsid w:val="3D6D5291"/>
    <w:rsid w:val="3D76385E"/>
    <w:rsid w:val="3D7747EB"/>
    <w:rsid w:val="3D7C3A9F"/>
    <w:rsid w:val="3D7D68E8"/>
    <w:rsid w:val="3D7F71B4"/>
    <w:rsid w:val="3D867CFE"/>
    <w:rsid w:val="3D881457"/>
    <w:rsid w:val="3D8C6434"/>
    <w:rsid w:val="3D941CF3"/>
    <w:rsid w:val="3D97020A"/>
    <w:rsid w:val="3DAA066D"/>
    <w:rsid w:val="3DAA133C"/>
    <w:rsid w:val="3DAC41A3"/>
    <w:rsid w:val="3DCC4AC4"/>
    <w:rsid w:val="3DD62277"/>
    <w:rsid w:val="3DD76D48"/>
    <w:rsid w:val="3DD974CE"/>
    <w:rsid w:val="3DDA043C"/>
    <w:rsid w:val="3DE25A91"/>
    <w:rsid w:val="3DE800C8"/>
    <w:rsid w:val="3DF43ED5"/>
    <w:rsid w:val="3E12574F"/>
    <w:rsid w:val="3E1C336D"/>
    <w:rsid w:val="3E205A75"/>
    <w:rsid w:val="3E221787"/>
    <w:rsid w:val="3E335860"/>
    <w:rsid w:val="3E342B3A"/>
    <w:rsid w:val="3E3D525D"/>
    <w:rsid w:val="3E3F5126"/>
    <w:rsid w:val="3E4035DA"/>
    <w:rsid w:val="3E403C04"/>
    <w:rsid w:val="3E414740"/>
    <w:rsid w:val="3E617324"/>
    <w:rsid w:val="3E620DC8"/>
    <w:rsid w:val="3E6654CC"/>
    <w:rsid w:val="3E7B6CA1"/>
    <w:rsid w:val="3E877743"/>
    <w:rsid w:val="3E891699"/>
    <w:rsid w:val="3E9111B3"/>
    <w:rsid w:val="3E954760"/>
    <w:rsid w:val="3E9A4418"/>
    <w:rsid w:val="3EA04088"/>
    <w:rsid w:val="3EA42FE1"/>
    <w:rsid w:val="3EA433D9"/>
    <w:rsid w:val="3EA86A8F"/>
    <w:rsid w:val="3EAB08D1"/>
    <w:rsid w:val="3EB01067"/>
    <w:rsid w:val="3EB13803"/>
    <w:rsid w:val="3EBA19B9"/>
    <w:rsid w:val="3EBB566C"/>
    <w:rsid w:val="3ECA25C5"/>
    <w:rsid w:val="3EDE01B4"/>
    <w:rsid w:val="3EF27273"/>
    <w:rsid w:val="3EFE1197"/>
    <w:rsid w:val="3F006DF6"/>
    <w:rsid w:val="3F0623C5"/>
    <w:rsid w:val="3F0912E1"/>
    <w:rsid w:val="3F113157"/>
    <w:rsid w:val="3F17087A"/>
    <w:rsid w:val="3F1F49C8"/>
    <w:rsid w:val="3F211056"/>
    <w:rsid w:val="3F284687"/>
    <w:rsid w:val="3F3051F7"/>
    <w:rsid w:val="3F3D0E7B"/>
    <w:rsid w:val="3F415481"/>
    <w:rsid w:val="3F475658"/>
    <w:rsid w:val="3F475E1B"/>
    <w:rsid w:val="3F4824AC"/>
    <w:rsid w:val="3F4850D1"/>
    <w:rsid w:val="3F48598F"/>
    <w:rsid w:val="3F4B7780"/>
    <w:rsid w:val="3F531C82"/>
    <w:rsid w:val="3F554B04"/>
    <w:rsid w:val="3F603CD5"/>
    <w:rsid w:val="3F646A72"/>
    <w:rsid w:val="3F727BA8"/>
    <w:rsid w:val="3F7B467C"/>
    <w:rsid w:val="3F7E7452"/>
    <w:rsid w:val="3F852474"/>
    <w:rsid w:val="3F8534F2"/>
    <w:rsid w:val="3F8D6CDE"/>
    <w:rsid w:val="3F900F36"/>
    <w:rsid w:val="3F93321B"/>
    <w:rsid w:val="3FA055E4"/>
    <w:rsid w:val="3FA77D13"/>
    <w:rsid w:val="3FA90CBE"/>
    <w:rsid w:val="3FC479CD"/>
    <w:rsid w:val="3FD86B06"/>
    <w:rsid w:val="3FDA7731"/>
    <w:rsid w:val="3FE250CC"/>
    <w:rsid w:val="3FE45AE8"/>
    <w:rsid w:val="3FF0766E"/>
    <w:rsid w:val="3FF824BD"/>
    <w:rsid w:val="40004925"/>
    <w:rsid w:val="400A03BD"/>
    <w:rsid w:val="401F1C62"/>
    <w:rsid w:val="402A481D"/>
    <w:rsid w:val="404C0741"/>
    <w:rsid w:val="40640533"/>
    <w:rsid w:val="40712FA8"/>
    <w:rsid w:val="4076584C"/>
    <w:rsid w:val="408902E7"/>
    <w:rsid w:val="408D0D0A"/>
    <w:rsid w:val="40A224DD"/>
    <w:rsid w:val="40AA7FBC"/>
    <w:rsid w:val="40BA77F5"/>
    <w:rsid w:val="40CD658C"/>
    <w:rsid w:val="40D00C0D"/>
    <w:rsid w:val="40D065EE"/>
    <w:rsid w:val="40D72B59"/>
    <w:rsid w:val="40DF26AF"/>
    <w:rsid w:val="40E06B1F"/>
    <w:rsid w:val="40F01A5F"/>
    <w:rsid w:val="4101034F"/>
    <w:rsid w:val="410E1E47"/>
    <w:rsid w:val="41180D6F"/>
    <w:rsid w:val="4118653E"/>
    <w:rsid w:val="411B0F1D"/>
    <w:rsid w:val="412B3481"/>
    <w:rsid w:val="412C1C6D"/>
    <w:rsid w:val="412E5D3E"/>
    <w:rsid w:val="4145377A"/>
    <w:rsid w:val="414A32FA"/>
    <w:rsid w:val="414F3C81"/>
    <w:rsid w:val="415410F6"/>
    <w:rsid w:val="41563F81"/>
    <w:rsid w:val="415D1275"/>
    <w:rsid w:val="417115F4"/>
    <w:rsid w:val="41726896"/>
    <w:rsid w:val="41796CEC"/>
    <w:rsid w:val="418271DC"/>
    <w:rsid w:val="41836D6E"/>
    <w:rsid w:val="41872E01"/>
    <w:rsid w:val="419A3F7F"/>
    <w:rsid w:val="419B6DC0"/>
    <w:rsid w:val="41A26595"/>
    <w:rsid w:val="41A50C26"/>
    <w:rsid w:val="41AE60AA"/>
    <w:rsid w:val="41B0127D"/>
    <w:rsid w:val="41C160B5"/>
    <w:rsid w:val="41C20163"/>
    <w:rsid w:val="41CC747F"/>
    <w:rsid w:val="41D652AB"/>
    <w:rsid w:val="41DE2280"/>
    <w:rsid w:val="41EB0061"/>
    <w:rsid w:val="41F209BD"/>
    <w:rsid w:val="41FB5F9F"/>
    <w:rsid w:val="41FC6B91"/>
    <w:rsid w:val="41FF25C5"/>
    <w:rsid w:val="41FF2C1B"/>
    <w:rsid w:val="42195CDB"/>
    <w:rsid w:val="4222403D"/>
    <w:rsid w:val="42234A93"/>
    <w:rsid w:val="423627C8"/>
    <w:rsid w:val="42364D96"/>
    <w:rsid w:val="42411C14"/>
    <w:rsid w:val="42412E44"/>
    <w:rsid w:val="42424139"/>
    <w:rsid w:val="42425DE8"/>
    <w:rsid w:val="42426CBD"/>
    <w:rsid w:val="4246682B"/>
    <w:rsid w:val="42483760"/>
    <w:rsid w:val="425B2398"/>
    <w:rsid w:val="425C24B7"/>
    <w:rsid w:val="426D1379"/>
    <w:rsid w:val="42706C77"/>
    <w:rsid w:val="42772BB2"/>
    <w:rsid w:val="428220CF"/>
    <w:rsid w:val="42922DF8"/>
    <w:rsid w:val="429E05A2"/>
    <w:rsid w:val="42A940E1"/>
    <w:rsid w:val="42BE347B"/>
    <w:rsid w:val="42BE4832"/>
    <w:rsid w:val="42BE4C1B"/>
    <w:rsid w:val="42BF6A47"/>
    <w:rsid w:val="42C224C9"/>
    <w:rsid w:val="42C617A5"/>
    <w:rsid w:val="42CA1DA7"/>
    <w:rsid w:val="42CD3E8A"/>
    <w:rsid w:val="42D40B19"/>
    <w:rsid w:val="42E42984"/>
    <w:rsid w:val="42E50026"/>
    <w:rsid w:val="42E92441"/>
    <w:rsid w:val="42EB5019"/>
    <w:rsid w:val="42F84E9A"/>
    <w:rsid w:val="42FF3E00"/>
    <w:rsid w:val="430718BE"/>
    <w:rsid w:val="43081BB5"/>
    <w:rsid w:val="431C0EEA"/>
    <w:rsid w:val="4348381A"/>
    <w:rsid w:val="43487D61"/>
    <w:rsid w:val="434E3D91"/>
    <w:rsid w:val="43573F91"/>
    <w:rsid w:val="436B6710"/>
    <w:rsid w:val="4371518A"/>
    <w:rsid w:val="43745761"/>
    <w:rsid w:val="43761727"/>
    <w:rsid w:val="437E089E"/>
    <w:rsid w:val="43825471"/>
    <w:rsid w:val="4384782D"/>
    <w:rsid w:val="43852D34"/>
    <w:rsid w:val="43870A63"/>
    <w:rsid w:val="438B1324"/>
    <w:rsid w:val="438E21B3"/>
    <w:rsid w:val="43922ABD"/>
    <w:rsid w:val="43AD4F9B"/>
    <w:rsid w:val="43B77A0C"/>
    <w:rsid w:val="43C81A2F"/>
    <w:rsid w:val="43E61D64"/>
    <w:rsid w:val="43EE472D"/>
    <w:rsid w:val="43EE67C9"/>
    <w:rsid w:val="43F40812"/>
    <w:rsid w:val="43F56490"/>
    <w:rsid w:val="43F667ED"/>
    <w:rsid w:val="43FB6526"/>
    <w:rsid w:val="440334FE"/>
    <w:rsid w:val="44055DF1"/>
    <w:rsid w:val="440939C8"/>
    <w:rsid w:val="441E1ACD"/>
    <w:rsid w:val="44201839"/>
    <w:rsid w:val="442149A4"/>
    <w:rsid w:val="44225711"/>
    <w:rsid w:val="442A204C"/>
    <w:rsid w:val="442E2100"/>
    <w:rsid w:val="4432452E"/>
    <w:rsid w:val="444050F3"/>
    <w:rsid w:val="4445734B"/>
    <w:rsid w:val="444C69A5"/>
    <w:rsid w:val="44704880"/>
    <w:rsid w:val="447D6C1D"/>
    <w:rsid w:val="44815327"/>
    <w:rsid w:val="448A4D27"/>
    <w:rsid w:val="448C34FD"/>
    <w:rsid w:val="44975EE0"/>
    <w:rsid w:val="449937DB"/>
    <w:rsid w:val="449E291C"/>
    <w:rsid w:val="44A25286"/>
    <w:rsid w:val="44A94A1A"/>
    <w:rsid w:val="44C12F64"/>
    <w:rsid w:val="44C717DE"/>
    <w:rsid w:val="44D526C0"/>
    <w:rsid w:val="44D734F6"/>
    <w:rsid w:val="44D85CA7"/>
    <w:rsid w:val="44DA3105"/>
    <w:rsid w:val="44DA47C1"/>
    <w:rsid w:val="44DF5888"/>
    <w:rsid w:val="44E1353D"/>
    <w:rsid w:val="44E20E25"/>
    <w:rsid w:val="44F96F40"/>
    <w:rsid w:val="44FD3980"/>
    <w:rsid w:val="44FE7FDF"/>
    <w:rsid w:val="45014A24"/>
    <w:rsid w:val="4505615F"/>
    <w:rsid w:val="45090053"/>
    <w:rsid w:val="450B1840"/>
    <w:rsid w:val="45102CF2"/>
    <w:rsid w:val="45161EF9"/>
    <w:rsid w:val="45251B91"/>
    <w:rsid w:val="452A3A1A"/>
    <w:rsid w:val="452D0CF6"/>
    <w:rsid w:val="452D7690"/>
    <w:rsid w:val="452E5673"/>
    <w:rsid w:val="4530463C"/>
    <w:rsid w:val="4532447C"/>
    <w:rsid w:val="453B1F79"/>
    <w:rsid w:val="453E1031"/>
    <w:rsid w:val="4546771F"/>
    <w:rsid w:val="454805FE"/>
    <w:rsid w:val="454D2473"/>
    <w:rsid w:val="454E4FF9"/>
    <w:rsid w:val="45512CE6"/>
    <w:rsid w:val="455F25DF"/>
    <w:rsid w:val="4566153F"/>
    <w:rsid w:val="4569446C"/>
    <w:rsid w:val="456C3D42"/>
    <w:rsid w:val="457639CC"/>
    <w:rsid w:val="45784C02"/>
    <w:rsid w:val="45927501"/>
    <w:rsid w:val="4599315C"/>
    <w:rsid w:val="45A70318"/>
    <w:rsid w:val="45AE52A3"/>
    <w:rsid w:val="45BD097C"/>
    <w:rsid w:val="45C11D75"/>
    <w:rsid w:val="45C84332"/>
    <w:rsid w:val="45CC6B71"/>
    <w:rsid w:val="45D212DD"/>
    <w:rsid w:val="45D72D60"/>
    <w:rsid w:val="45E03874"/>
    <w:rsid w:val="45F12BF0"/>
    <w:rsid w:val="45FD1EC4"/>
    <w:rsid w:val="4603099C"/>
    <w:rsid w:val="460573BC"/>
    <w:rsid w:val="460A29C3"/>
    <w:rsid w:val="460B0786"/>
    <w:rsid w:val="46135D0B"/>
    <w:rsid w:val="46187C8E"/>
    <w:rsid w:val="4626062B"/>
    <w:rsid w:val="46336BDF"/>
    <w:rsid w:val="463C2B45"/>
    <w:rsid w:val="463C4B98"/>
    <w:rsid w:val="4646654E"/>
    <w:rsid w:val="464A1A68"/>
    <w:rsid w:val="464C33C7"/>
    <w:rsid w:val="464C7BBD"/>
    <w:rsid w:val="46557834"/>
    <w:rsid w:val="46655B9E"/>
    <w:rsid w:val="466C1893"/>
    <w:rsid w:val="466C646E"/>
    <w:rsid w:val="46721D0C"/>
    <w:rsid w:val="46734724"/>
    <w:rsid w:val="467B7747"/>
    <w:rsid w:val="467B7CDA"/>
    <w:rsid w:val="46806394"/>
    <w:rsid w:val="46822DB8"/>
    <w:rsid w:val="46861D58"/>
    <w:rsid w:val="46870BD8"/>
    <w:rsid w:val="468C5164"/>
    <w:rsid w:val="46900E4F"/>
    <w:rsid w:val="469600C8"/>
    <w:rsid w:val="469749D4"/>
    <w:rsid w:val="469F472E"/>
    <w:rsid w:val="46A81EFF"/>
    <w:rsid w:val="46AB29E9"/>
    <w:rsid w:val="46B22714"/>
    <w:rsid w:val="46B94E2A"/>
    <w:rsid w:val="46C6750C"/>
    <w:rsid w:val="46C736D1"/>
    <w:rsid w:val="46D2634E"/>
    <w:rsid w:val="46D84744"/>
    <w:rsid w:val="46E2491C"/>
    <w:rsid w:val="46ED2856"/>
    <w:rsid w:val="46F1003D"/>
    <w:rsid w:val="46F23A27"/>
    <w:rsid w:val="46F4224F"/>
    <w:rsid w:val="47016402"/>
    <w:rsid w:val="470220D1"/>
    <w:rsid w:val="472E51B3"/>
    <w:rsid w:val="4739524E"/>
    <w:rsid w:val="473D656F"/>
    <w:rsid w:val="47427E7A"/>
    <w:rsid w:val="47591C58"/>
    <w:rsid w:val="47595DF1"/>
    <w:rsid w:val="475C0C2F"/>
    <w:rsid w:val="475C1DF9"/>
    <w:rsid w:val="47605300"/>
    <w:rsid w:val="47690EAD"/>
    <w:rsid w:val="476A2B94"/>
    <w:rsid w:val="476E7F00"/>
    <w:rsid w:val="477F6BA5"/>
    <w:rsid w:val="478804C3"/>
    <w:rsid w:val="479B2FBE"/>
    <w:rsid w:val="479B7CFE"/>
    <w:rsid w:val="47A97CB8"/>
    <w:rsid w:val="47AA41C2"/>
    <w:rsid w:val="47AD7B53"/>
    <w:rsid w:val="47B36E11"/>
    <w:rsid w:val="47C34754"/>
    <w:rsid w:val="47C6695F"/>
    <w:rsid w:val="47C76ADE"/>
    <w:rsid w:val="47D03482"/>
    <w:rsid w:val="47D071DF"/>
    <w:rsid w:val="47D25B6A"/>
    <w:rsid w:val="47DC4C30"/>
    <w:rsid w:val="47EB30CC"/>
    <w:rsid w:val="47F049B9"/>
    <w:rsid w:val="47F16D14"/>
    <w:rsid w:val="47F254E7"/>
    <w:rsid w:val="47F54762"/>
    <w:rsid w:val="480012C4"/>
    <w:rsid w:val="4804681D"/>
    <w:rsid w:val="48104EBB"/>
    <w:rsid w:val="48265E20"/>
    <w:rsid w:val="482A69C0"/>
    <w:rsid w:val="482C3D5D"/>
    <w:rsid w:val="482F2A02"/>
    <w:rsid w:val="48311FD9"/>
    <w:rsid w:val="48330048"/>
    <w:rsid w:val="48340C3E"/>
    <w:rsid w:val="48441593"/>
    <w:rsid w:val="4845355B"/>
    <w:rsid w:val="4846414E"/>
    <w:rsid w:val="48471BB0"/>
    <w:rsid w:val="484A3391"/>
    <w:rsid w:val="48561249"/>
    <w:rsid w:val="48586A3A"/>
    <w:rsid w:val="485E6C3D"/>
    <w:rsid w:val="48604C59"/>
    <w:rsid w:val="488A3913"/>
    <w:rsid w:val="488C045B"/>
    <w:rsid w:val="488C3CB3"/>
    <w:rsid w:val="488F0A81"/>
    <w:rsid w:val="48905E25"/>
    <w:rsid w:val="489D61D0"/>
    <w:rsid w:val="48A21201"/>
    <w:rsid w:val="48A535C5"/>
    <w:rsid w:val="48A64709"/>
    <w:rsid w:val="48AB47DA"/>
    <w:rsid w:val="48AB7400"/>
    <w:rsid w:val="48B35B73"/>
    <w:rsid w:val="48B37116"/>
    <w:rsid w:val="48B65743"/>
    <w:rsid w:val="48BD07E6"/>
    <w:rsid w:val="48C07896"/>
    <w:rsid w:val="48CF50D7"/>
    <w:rsid w:val="48D21FBF"/>
    <w:rsid w:val="48D315FA"/>
    <w:rsid w:val="48D629C4"/>
    <w:rsid w:val="48D64C23"/>
    <w:rsid w:val="48D7334E"/>
    <w:rsid w:val="48EB5407"/>
    <w:rsid w:val="48EC73F2"/>
    <w:rsid w:val="48ED21B1"/>
    <w:rsid w:val="48F33068"/>
    <w:rsid w:val="48F41205"/>
    <w:rsid w:val="48FB7F14"/>
    <w:rsid w:val="48FD0C47"/>
    <w:rsid w:val="48FD6EAA"/>
    <w:rsid w:val="48FE2D8F"/>
    <w:rsid w:val="490409D7"/>
    <w:rsid w:val="490A72DA"/>
    <w:rsid w:val="490B2297"/>
    <w:rsid w:val="490D226F"/>
    <w:rsid w:val="49136C37"/>
    <w:rsid w:val="49161566"/>
    <w:rsid w:val="491969CB"/>
    <w:rsid w:val="492D6B30"/>
    <w:rsid w:val="493610AA"/>
    <w:rsid w:val="49430394"/>
    <w:rsid w:val="49441DC3"/>
    <w:rsid w:val="49466466"/>
    <w:rsid w:val="49563902"/>
    <w:rsid w:val="496045D6"/>
    <w:rsid w:val="496133D4"/>
    <w:rsid w:val="496265F0"/>
    <w:rsid w:val="4963783E"/>
    <w:rsid w:val="49690739"/>
    <w:rsid w:val="496E43B7"/>
    <w:rsid w:val="49776D5D"/>
    <w:rsid w:val="497778A9"/>
    <w:rsid w:val="49803D56"/>
    <w:rsid w:val="498D6527"/>
    <w:rsid w:val="49972EA6"/>
    <w:rsid w:val="49990BF2"/>
    <w:rsid w:val="499D3EEB"/>
    <w:rsid w:val="49A47F74"/>
    <w:rsid w:val="49AD6CEA"/>
    <w:rsid w:val="49B37F88"/>
    <w:rsid w:val="49B619DE"/>
    <w:rsid w:val="49BB012C"/>
    <w:rsid w:val="49D5080A"/>
    <w:rsid w:val="49D9493E"/>
    <w:rsid w:val="49E614F8"/>
    <w:rsid w:val="49F50CB4"/>
    <w:rsid w:val="49F9687C"/>
    <w:rsid w:val="49FC39E1"/>
    <w:rsid w:val="49FE76B2"/>
    <w:rsid w:val="4A026404"/>
    <w:rsid w:val="4A081980"/>
    <w:rsid w:val="4A0965C4"/>
    <w:rsid w:val="4A0E26B7"/>
    <w:rsid w:val="4A1355A9"/>
    <w:rsid w:val="4A1E18C1"/>
    <w:rsid w:val="4A232A12"/>
    <w:rsid w:val="4A294321"/>
    <w:rsid w:val="4A3426B7"/>
    <w:rsid w:val="4A5962A5"/>
    <w:rsid w:val="4A5B3866"/>
    <w:rsid w:val="4A5E5582"/>
    <w:rsid w:val="4A671D44"/>
    <w:rsid w:val="4A680B8E"/>
    <w:rsid w:val="4A6E04D1"/>
    <w:rsid w:val="4A6F0E2B"/>
    <w:rsid w:val="4A7338A8"/>
    <w:rsid w:val="4A7A24FD"/>
    <w:rsid w:val="4A7A505B"/>
    <w:rsid w:val="4A88607C"/>
    <w:rsid w:val="4A8D6DF6"/>
    <w:rsid w:val="4A8E04EE"/>
    <w:rsid w:val="4A9B57C4"/>
    <w:rsid w:val="4AA44A02"/>
    <w:rsid w:val="4AA70038"/>
    <w:rsid w:val="4ABF242D"/>
    <w:rsid w:val="4AC1656E"/>
    <w:rsid w:val="4ACA069C"/>
    <w:rsid w:val="4AD2221C"/>
    <w:rsid w:val="4AE6418F"/>
    <w:rsid w:val="4AE91BAF"/>
    <w:rsid w:val="4AEE19A7"/>
    <w:rsid w:val="4AEE3C0D"/>
    <w:rsid w:val="4AFA0A83"/>
    <w:rsid w:val="4B062F5A"/>
    <w:rsid w:val="4B133B48"/>
    <w:rsid w:val="4B1508C9"/>
    <w:rsid w:val="4B256FCD"/>
    <w:rsid w:val="4B262E18"/>
    <w:rsid w:val="4B286005"/>
    <w:rsid w:val="4B2939C7"/>
    <w:rsid w:val="4B29456D"/>
    <w:rsid w:val="4B296173"/>
    <w:rsid w:val="4B2D7016"/>
    <w:rsid w:val="4B330DED"/>
    <w:rsid w:val="4B36102B"/>
    <w:rsid w:val="4B395511"/>
    <w:rsid w:val="4B3F7E08"/>
    <w:rsid w:val="4B4614CD"/>
    <w:rsid w:val="4B4C07B0"/>
    <w:rsid w:val="4B51489B"/>
    <w:rsid w:val="4B5A43D2"/>
    <w:rsid w:val="4B5C1F7D"/>
    <w:rsid w:val="4B60485A"/>
    <w:rsid w:val="4B631B97"/>
    <w:rsid w:val="4B6C4EA8"/>
    <w:rsid w:val="4B724CF4"/>
    <w:rsid w:val="4B76089F"/>
    <w:rsid w:val="4B7710DA"/>
    <w:rsid w:val="4B7B5580"/>
    <w:rsid w:val="4B8036C6"/>
    <w:rsid w:val="4B837527"/>
    <w:rsid w:val="4B8B19BF"/>
    <w:rsid w:val="4B9B587F"/>
    <w:rsid w:val="4BAF2EB2"/>
    <w:rsid w:val="4BB245F4"/>
    <w:rsid w:val="4BBA00A1"/>
    <w:rsid w:val="4BC2050A"/>
    <w:rsid w:val="4BC348F2"/>
    <w:rsid w:val="4BCD4308"/>
    <w:rsid w:val="4BCF360A"/>
    <w:rsid w:val="4BD62452"/>
    <w:rsid w:val="4BE8381D"/>
    <w:rsid w:val="4BEB0FE1"/>
    <w:rsid w:val="4BF25E5D"/>
    <w:rsid w:val="4BFF5CC8"/>
    <w:rsid w:val="4C0A24C3"/>
    <w:rsid w:val="4C0C66C8"/>
    <w:rsid w:val="4C122866"/>
    <w:rsid w:val="4C272281"/>
    <w:rsid w:val="4C2B3870"/>
    <w:rsid w:val="4C2B57A0"/>
    <w:rsid w:val="4C2C3963"/>
    <w:rsid w:val="4C393B07"/>
    <w:rsid w:val="4C3A03ED"/>
    <w:rsid w:val="4C4C3F77"/>
    <w:rsid w:val="4C544E2A"/>
    <w:rsid w:val="4C564864"/>
    <w:rsid w:val="4C57039E"/>
    <w:rsid w:val="4C6D5EC6"/>
    <w:rsid w:val="4C6E6A40"/>
    <w:rsid w:val="4C6F3C67"/>
    <w:rsid w:val="4C726353"/>
    <w:rsid w:val="4C7A6A03"/>
    <w:rsid w:val="4C7D2B37"/>
    <w:rsid w:val="4C822A6F"/>
    <w:rsid w:val="4C8672F5"/>
    <w:rsid w:val="4C8D6093"/>
    <w:rsid w:val="4C96348A"/>
    <w:rsid w:val="4CA874C1"/>
    <w:rsid w:val="4CB52C63"/>
    <w:rsid w:val="4CB7394C"/>
    <w:rsid w:val="4CB91096"/>
    <w:rsid w:val="4CBA6BE7"/>
    <w:rsid w:val="4CBB7B02"/>
    <w:rsid w:val="4CC17C42"/>
    <w:rsid w:val="4CC40B4A"/>
    <w:rsid w:val="4CD00124"/>
    <w:rsid w:val="4CD150FB"/>
    <w:rsid w:val="4CD34B66"/>
    <w:rsid w:val="4CEC1471"/>
    <w:rsid w:val="4CEE0A00"/>
    <w:rsid w:val="4CF14402"/>
    <w:rsid w:val="4CF22EA0"/>
    <w:rsid w:val="4CF55317"/>
    <w:rsid w:val="4CF679F5"/>
    <w:rsid w:val="4D064691"/>
    <w:rsid w:val="4D0E0FF8"/>
    <w:rsid w:val="4D1519D1"/>
    <w:rsid w:val="4D1D1B3C"/>
    <w:rsid w:val="4D1F60D1"/>
    <w:rsid w:val="4D2E17AF"/>
    <w:rsid w:val="4D357326"/>
    <w:rsid w:val="4D370A46"/>
    <w:rsid w:val="4D471E96"/>
    <w:rsid w:val="4D482CAE"/>
    <w:rsid w:val="4D4F5601"/>
    <w:rsid w:val="4D56034A"/>
    <w:rsid w:val="4D5B0F95"/>
    <w:rsid w:val="4D6A5B56"/>
    <w:rsid w:val="4D773BA7"/>
    <w:rsid w:val="4D791726"/>
    <w:rsid w:val="4D7B2512"/>
    <w:rsid w:val="4D7E2932"/>
    <w:rsid w:val="4D8B14EF"/>
    <w:rsid w:val="4D8E6A30"/>
    <w:rsid w:val="4D9249CC"/>
    <w:rsid w:val="4D934BA2"/>
    <w:rsid w:val="4D9E3A90"/>
    <w:rsid w:val="4DAE0E8D"/>
    <w:rsid w:val="4DBB7E42"/>
    <w:rsid w:val="4DBD1CD2"/>
    <w:rsid w:val="4DC03CA6"/>
    <w:rsid w:val="4DC91B10"/>
    <w:rsid w:val="4DDC6507"/>
    <w:rsid w:val="4DE86F82"/>
    <w:rsid w:val="4DEA4356"/>
    <w:rsid w:val="4DF45BD4"/>
    <w:rsid w:val="4E0562CC"/>
    <w:rsid w:val="4E123A61"/>
    <w:rsid w:val="4E1452BF"/>
    <w:rsid w:val="4E230666"/>
    <w:rsid w:val="4E283BF9"/>
    <w:rsid w:val="4E2A3BD3"/>
    <w:rsid w:val="4E2C184E"/>
    <w:rsid w:val="4E2E2A89"/>
    <w:rsid w:val="4E3E3FCF"/>
    <w:rsid w:val="4E4907B7"/>
    <w:rsid w:val="4E4A6310"/>
    <w:rsid w:val="4E4C6675"/>
    <w:rsid w:val="4E506340"/>
    <w:rsid w:val="4E5262BC"/>
    <w:rsid w:val="4E5F588C"/>
    <w:rsid w:val="4E730312"/>
    <w:rsid w:val="4E7740AF"/>
    <w:rsid w:val="4E7747C5"/>
    <w:rsid w:val="4E7E466B"/>
    <w:rsid w:val="4E816476"/>
    <w:rsid w:val="4E8320C8"/>
    <w:rsid w:val="4E9401EB"/>
    <w:rsid w:val="4E94395C"/>
    <w:rsid w:val="4EA03F66"/>
    <w:rsid w:val="4EA20F4D"/>
    <w:rsid w:val="4EB045E5"/>
    <w:rsid w:val="4EB72D28"/>
    <w:rsid w:val="4EC03DA0"/>
    <w:rsid w:val="4EC30601"/>
    <w:rsid w:val="4EC767BE"/>
    <w:rsid w:val="4ED43F96"/>
    <w:rsid w:val="4EDF1B18"/>
    <w:rsid w:val="4EF5753E"/>
    <w:rsid w:val="4EF81911"/>
    <w:rsid w:val="4EF853E8"/>
    <w:rsid w:val="4EFA436D"/>
    <w:rsid w:val="4EFC66AE"/>
    <w:rsid w:val="4F002A15"/>
    <w:rsid w:val="4F041691"/>
    <w:rsid w:val="4F08177C"/>
    <w:rsid w:val="4F1F6D5F"/>
    <w:rsid w:val="4F230BBF"/>
    <w:rsid w:val="4F263691"/>
    <w:rsid w:val="4F295A5C"/>
    <w:rsid w:val="4F2E0037"/>
    <w:rsid w:val="4F3B4803"/>
    <w:rsid w:val="4F3E6071"/>
    <w:rsid w:val="4F454D8F"/>
    <w:rsid w:val="4F5859B9"/>
    <w:rsid w:val="4F634ACF"/>
    <w:rsid w:val="4F746CC3"/>
    <w:rsid w:val="4F767B55"/>
    <w:rsid w:val="4F7702EF"/>
    <w:rsid w:val="4F7C4B47"/>
    <w:rsid w:val="4F7D51A1"/>
    <w:rsid w:val="4F7F0A68"/>
    <w:rsid w:val="4F960510"/>
    <w:rsid w:val="4F9D0375"/>
    <w:rsid w:val="4FA24D2F"/>
    <w:rsid w:val="4FA51443"/>
    <w:rsid w:val="4FB17C75"/>
    <w:rsid w:val="4FBF3866"/>
    <w:rsid w:val="4FC165C8"/>
    <w:rsid w:val="4FC215E9"/>
    <w:rsid w:val="4FCF1676"/>
    <w:rsid w:val="4FDC4278"/>
    <w:rsid w:val="4FDE6975"/>
    <w:rsid w:val="4FE74AFC"/>
    <w:rsid w:val="4FE93613"/>
    <w:rsid w:val="4FEC7482"/>
    <w:rsid w:val="4FF075EE"/>
    <w:rsid w:val="4FFA0222"/>
    <w:rsid w:val="500013B1"/>
    <w:rsid w:val="50016F8C"/>
    <w:rsid w:val="501120F6"/>
    <w:rsid w:val="50162081"/>
    <w:rsid w:val="501B5227"/>
    <w:rsid w:val="50292267"/>
    <w:rsid w:val="50375888"/>
    <w:rsid w:val="504C032B"/>
    <w:rsid w:val="504D12F8"/>
    <w:rsid w:val="505651B6"/>
    <w:rsid w:val="505971CF"/>
    <w:rsid w:val="506722C4"/>
    <w:rsid w:val="506866A8"/>
    <w:rsid w:val="506A4126"/>
    <w:rsid w:val="506B150D"/>
    <w:rsid w:val="50714F0E"/>
    <w:rsid w:val="507843F1"/>
    <w:rsid w:val="508D35A6"/>
    <w:rsid w:val="508F5D37"/>
    <w:rsid w:val="508F6D9B"/>
    <w:rsid w:val="50923270"/>
    <w:rsid w:val="509A475C"/>
    <w:rsid w:val="50A716BA"/>
    <w:rsid w:val="50AB24DA"/>
    <w:rsid w:val="50BC164F"/>
    <w:rsid w:val="50BD2602"/>
    <w:rsid w:val="50C073CC"/>
    <w:rsid w:val="50C74476"/>
    <w:rsid w:val="50CE252F"/>
    <w:rsid w:val="50D42E16"/>
    <w:rsid w:val="50DE6F6E"/>
    <w:rsid w:val="50E01B2E"/>
    <w:rsid w:val="50E56504"/>
    <w:rsid w:val="50E87D80"/>
    <w:rsid w:val="50F90C7D"/>
    <w:rsid w:val="50F96C4E"/>
    <w:rsid w:val="510251B3"/>
    <w:rsid w:val="51041BEE"/>
    <w:rsid w:val="51055D72"/>
    <w:rsid w:val="510648C9"/>
    <w:rsid w:val="51166013"/>
    <w:rsid w:val="5118651D"/>
    <w:rsid w:val="51214E48"/>
    <w:rsid w:val="51226024"/>
    <w:rsid w:val="513028BC"/>
    <w:rsid w:val="51311A88"/>
    <w:rsid w:val="513D79B3"/>
    <w:rsid w:val="51417916"/>
    <w:rsid w:val="514E59E0"/>
    <w:rsid w:val="514E7B18"/>
    <w:rsid w:val="515563C4"/>
    <w:rsid w:val="51596D49"/>
    <w:rsid w:val="515B4E5B"/>
    <w:rsid w:val="515E749A"/>
    <w:rsid w:val="516A2B71"/>
    <w:rsid w:val="51742B62"/>
    <w:rsid w:val="51892961"/>
    <w:rsid w:val="5189566B"/>
    <w:rsid w:val="5193015C"/>
    <w:rsid w:val="519536E7"/>
    <w:rsid w:val="51A42C2A"/>
    <w:rsid w:val="51B802E8"/>
    <w:rsid w:val="51BE4002"/>
    <w:rsid w:val="51C37787"/>
    <w:rsid w:val="51D904AC"/>
    <w:rsid w:val="51DE46A2"/>
    <w:rsid w:val="51E353B8"/>
    <w:rsid w:val="51E60F48"/>
    <w:rsid w:val="51E815D4"/>
    <w:rsid w:val="51EC6FAD"/>
    <w:rsid w:val="51F868E3"/>
    <w:rsid w:val="51F94D59"/>
    <w:rsid w:val="51FA3F16"/>
    <w:rsid w:val="51FD0020"/>
    <w:rsid w:val="520B25EE"/>
    <w:rsid w:val="520C497A"/>
    <w:rsid w:val="52154EE5"/>
    <w:rsid w:val="52157DA9"/>
    <w:rsid w:val="521912D3"/>
    <w:rsid w:val="521D49F1"/>
    <w:rsid w:val="521E1854"/>
    <w:rsid w:val="52216F69"/>
    <w:rsid w:val="522C3100"/>
    <w:rsid w:val="522C3822"/>
    <w:rsid w:val="52307A13"/>
    <w:rsid w:val="5232571E"/>
    <w:rsid w:val="52326B48"/>
    <w:rsid w:val="52342EE8"/>
    <w:rsid w:val="523503EF"/>
    <w:rsid w:val="5235669B"/>
    <w:rsid w:val="524077F9"/>
    <w:rsid w:val="524711F7"/>
    <w:rsid w:val="524B7046"/>
    <w:rsid w:val="524C412F"/>
    <w:rsid w:val="525906C1"/>
    <w:rsid w:val="525A148E"/>
    <w:rsid w:val="525F7702"/>
    <w:rsid w:val="526B2DEC"/>
    <w:rsid w:val="526D185C"/>
    <w:rsid w:val="5274184B"/>
    <w:rsid w:val="527F765E"/>
    <w:rsid w:val="528E6FEC"/>
    <w:rsid w:val="52900D29"/>
    <w:rsid w:val="52934619"/>
    <w:rsid w:val="52A81421"/>
    <w:rsid w:val="52A85F60"/>
    <w:rsid w:val="52AD3FC2"/>
    <w:rsid w:val="52AE312E"/>
    <w:rsid w:val="52AF6FCD"/>
    <w:rsid w:val="52B33948"/>
    <w:rsid w:val="52BE565A"/>
    <w:rsid w:val="52BE5C1E"/>
    <w:rsid w:val="52CE114C"/>
    <w:rsid w:val="52D65C92"/>
    <w:rsid w:val="52DB2A90"/>
    <w:rsid w:val="52E85A2F"/>
    <w:rsid w:val="530443AC"/>
    <w:rsid w:val="53165AA5"/>
    <w:rsid w:val="53192197"/>
    <w:rsid w:val="531C2627"/>
    <w:rsid w:val="5320206E"/>
    <w:rsid w:val="532600D2"/>
    <w:rsid w:val="53386832"/>
    <w:rsid w:val="534449BE"/>
    <w:rsid w:val="53656E4E"/>
    <w:rsid w:val="53675A71"/>
    <w:rsid w:val="536C206E"/>
    <w:rsid w:val="536C4129"/>
    <w:rsid w:val="53732E8C"/>
    <w:rsid w:val="53823FF7"/>
    <w:rsid w:val="5384742C"/>
    <w:rsid w:val="538F0C31"/>
    <w:rsid w:val="539103F8"/>
    <w:rsid w:val="539C0B33"/>
    <w:rsid w:val="53AE46D9"/>
    <w:rsid w:val="53AF6DBF"/>
    <w:rsid w:val="53B9668C"/>
    <w:rsid w:val="53BE3E67"/>
    <w:rsid w:val="53C16AD5"/>
    <w:rsid w:val="53D34AD0"/>
    <w:rsid w:val="53DE02CC"/>
    <w:rsid w:val="53E8282F"/>
    <w:rsid w:val="53EA1894"/>
    <w:rsid w:val="53EC7FCA"/>
    <w:rsid w:val="53F403C8"/>
    <w:rsid w:val="53FE35DE"/>
    <w:rsid w:val="53FE62CD"/>
    <w:rsid w:val="540F05AA"/>
    <w:rsid w:val="54127955"/>
    <w:rsid w:val="5413290C"/>
    <w:rsid w:val="54185376"/>
    <w:rsid w:val="54197BF4"/>
    <w:rsid w:val="541E1141"/>
    <w:rsid w:val="54212293"/>
    <w:rsid w:val="5421495A"/>
    <w:rsid w:val="542C081A"/>
    <w:rsid w:val="54313356"/>
    <w:rsid w:val="54325CEA"/>
    <w:rsid w:val="54336573"/>
    <w:rsid w:val="543822F0"/>
    <w:rsid w:val="544D6F5F"/>
    <w:rsid w:val="545A2FB4"/>
    <w:rsid w:val="545B1487"/>
    <w:rsid w:val="545C20D2"/>
    <w:rsid w:val="5464563F"/>
    <w:rsid w:val="546649FE"/>
    <w:rsid w:val="54694CFA"/>
    <w:rsid w:val="54720347"/>
    <w:rsid w:val="54720E6C"/>
    <w:rsid w:val="547D00A4"/>
    <w:rsid w:val="548B38ED"/>
    <w:rsid w:val="548F6040"/>
    <w:rsid w:val="54921106"/>
    <w:rsid w:val="54984A9B"/>
    <w:rsid w:val="54A941AB"/>
    <w:rsid w:val="54B53299"/>
    <w:rsid w:val="54B93795"/>
    <w:rsid w:val="54C32A83"/>
    <w:rsid w:val="54C76778"/>
    <w:rsid w:val="54CC7B2F"/>
    <w:rsid w:val="54CF284E"/>
    <w:rsid w:val="54DA3035"/>
    <w:rsid w:val="54DF2057"/>
    <w:rsid w:val="54E5212E"/>
    <w:rsid w:val="54E56D7A"/>
    <w:rsid w:val="550B6A38"/>
    <w:rsid w:val="550D2DFF"/>
    <w:rsid w:val="5511026F"/>
    <w:rsid w:val="551F0003"/>
    <w:rsid w:val="55223305"/>
    <w:rsid w:val="55244CEC"/>
    <w:rsid w:val="55250AD7"/>
    <w:rsid w:val="55307109"/>
    <w:rsid w:val="553375AE"/>
    <w:rsid w:val="55360C47"/>
    <w:rsid w:val="554376C8"/>
    <w:rsid w:val="554C3E51"/>
    <w:rsid w:val="554F0D7B"/>
    <w:rsid w:val="555B01AA"/>
    <w:rsid w:val="555D6E2C"/>
    <w:rsid w:val="556F373C"/>
    <w:rsid w:val="55782C2E"/>
    <w:rsid w:val="55815BC7"/>
    <w:rsid w:val="55816A10"/>
    <w:rsid w:val="5586047A"/>
    <w:rsid w:val="55874055"/>
    <w:rsid w:val="55893B7C"/>
    <w:rsid w:val="55965B4A"/>
    <w:rsid w:val="559A5F0A"/>
    <w:rsid w:val="559B3F9B"/>
    <w:rsid w:val="55A13595"/>
    <w:rsid w:val="55AE53A0"/>
    <w:rsid w:val="55AE76A4"/>
    <w:rsid w:val="55B33FA2"/>
    <w:rsid w:val="55B62F64"/>
    <w:rsid w:val="55BD1AAD"/>
    <w:rsid w:val="55BD4F0C"/>
    <w:rsid w:val="55C67F2A"/>
    <w:rsid w:val="55C86BD2"/>
    <w:rsid w:val="55C979C1"/>
    <w:rsid w:val="55CC5DCA"/>
    <w:rsid w:val="55CF402E"/>
    <w:rsid w:val="55D270F5"/>
    <w:rsid w:val="55D3696F"/>
    <w:rsid w:val="55DB1B2C"/>
    <w:rsid w:val="55DC717D"/>
    <w:rsid w:val="55E77C3A"/>
    <w:rsid w:val="55EB3A9F"/>
    <w:rsid w:val="55F15253"/>
    <w:rsid w:val="55F464AC"/>
    <w:rsid w:val="55F77557"/>
    <w:rsid w:val="55F962DF"/>
    <w:rsid w:val="55FA0296"/>
    <w:rsid w:val="55FF1422"/>
    <w:rsid w:val="56001014"/>
    <w:rsid w:val="56022DBD"/>
    <w:rsid w:val="56130199"/>
    <w:rsid w:val="56235757"/>
    <w:rsid w:val="563B1C24"/>
    <w:rsid w:val="5642106C"/>
    <w:rsid w:val="56461B2E"/>
    <w:rsid w:val="564A58A7"/>
    <w:rsid w:val="5651526E"/>
    <w:rsid w:val="565B1174"/>
    <w:rsid w:val="56615D2B"/>
    <w:rsid w:val="56691B67"/>
    <w:rsid w:val="566B4671"/>
    <w:rsid w:val="566B67C0"/>
    <w:rsid w:val="56705FB9"/>
    <w:rsid w:val="56707DA8"/>
    <w:rsid w:val="56742A4C"/>
    <w:rsid w:val="56763BE0"/>
    <w:rsid w:val="56781174"/>
    <w:rsid w:val="568C3DF1"/>
    <w:rsid w:val="569732DD"/>
    <w:rsid w:val="569F59EA"/>
    <w:rsid w:val="56AA3F96"/>
    <w:rsid w:val="56BD4E7E"/>
    <w:rsid w:val="56BE4D38"/>
    <w:rsid w:val="56C76ED2"/>
    <w:rsid w:val="56D658FE"/>
    <w:rsid w:val="56E05FC6"/>
    <w:rsid w:val="56E06304"/>
    <w:rsid w:val="56EB5E4B"/>
    <w:rsid w:val="56F32779"/>
    <w:rsid w:val="56F84229"/>
    <w:rsid w:val="57023C45"/>
    <w:rsid w:val="57082783"/>
    <w:rsid w:val="5720074D"/>
    <w:rsid w:val="572300F2"/>
    <w:rsid w:val="572E6ABD"/>
    <w:rsid w:val="57466FB3"/>
    <w:rsid w:val="574928F0"/>
    <w:rsid w:val="574C1C54"/>
    <w:rsid w:val="574D196C"/>
    <w:rsid w:val="574D7D8C"/>
    <w:rsid w:val="57556BD9"/>
    <w:rsid w:val="575E79EF"/>
    <w:rsid w:val="57601F91"/>
    <w:rsid w:val="57630BFB"/>
    <w:rsid w:val="57A61F71"/>
    <w:rsid w:val="57AA42FC"/>
    <w:rsid w:val="57AF2614"/>
    <w:rsid w:val="57B01AEC"/>
    <w:rsid w:val="57B738E0"/>
    <w:rsid w:val="57B82530"/>
    <w:rsid w:val="57C72301"/>
    <w:rsid w:val="57CF3F7C"/>
    <w:rsid w:val="57D11DF0"/>
    <w:rsid w:val="57D3513A"/>
    <w:rsid w:val="57DE466A"/>
    <w:rsid w:val="57DE6CC3"/>
    <w:rsid w:val="57E4676F"/>
    <w:rsid w:val="57E566D2"/>
    <w:rsid w:val="57E849B8"/>
    <w:rsid w:val="57E97671"/>
    <w:rsid w:val="57EF5E60"/>
    <w:rsid w:val="57F11680"/>
    <w:rsid w:val="57F47EB2"/>
    <w:rsid w:val="57F833F6"/>
    <w:rsid w:val="58022CA3"/>
    <w:rsid w:val="58080A31"/>
    <w:rsid w:val="580E62FA"/>
    <w:rsid w:val="58137A7D"/>
    <w:rsid w:val="581C33A3"/>
    <w:rsid w:val="582868BF"/>
    <w:rsid w:val="58491BD1"/>
    <w:rsid w:val="585670F7"/>
    <w:rsid w:val="58596F52"/>
    <w:rsid w:val="586012DA"/>
    <w:rsid w:val="58684ECA"/>
    <w:rsid w:val="5869399C"/>
    <w:rsid w:val="58693FC5"/>
    <w:rsid w:val="586A2A81"/>
    <w:rsid w:val="58774ABF"/>
    <w:rsid w:val="58847716"/>
    <w:rsid w:val="58883DA8"/>
    <w:rsid w:val="5896402D"/>
    <w:rsid w:val="589D39E1"/>
    <w:rsid w:val="589D3FF2"/>
    <w:rsid w:val="58A74831"/>
    <w:rsid w:val="58B03F7D"/>
    <w:rsid w:val="58BD2C7D"/>
    <w:rsid w:val="58C94687"/>
    <w:rsid w:val="58CA3DE9"/>
    <w:rsid w:val="58CB3BB5"/>
    <w:rsid w:val="58CD6BC7"/>
    <w:rsid w:val="58DA55E9"/>
    <w:rsid w:val="58E917E8"/>
    <w:rsid w:val="58F34276"/>
    <w:rsid w:val="59023192"/>
    <w:rsid w:val="59064476"/>
    <w:rsid w:val="5908193D"/>
    <w:rsid w:val="590A1CB6"/>
    <w:rsid w:val="590F32DA"/>
    <w:rsid w:val="591C21E2"/>
    <w:rsid w:val="591D0955"/>
    <w:rsid w:val="5926711A"/>
    <w:rsid w:val="592A7DCC"/>
    <w:rsid w:val="593E782B"/>
    <w:rsid w:val="594F42E4"/>
    <w:rsid w:val="59525B38"/>
    <w:rsid w:val="59586BC0"/>
    <w:rsid w:val="595D4319"/>
    <w:rsid w:val="59604FD0"/>
    <w:rsid w:val="596326A9"/>
    <w:rsid w:val="596400E7"/>
    <w:rsid w:val="59702C95"/>
    <w:rsid w:val="59715C90"/>
    <w:rsid w:val="59764E0C"/>
    <w:rsid w:val="59812E2C"/>
    <w:rsid w:val="598469AB"/>
    <w:rsid w:val="59865159"/>
    <w:rsid w:val="598E4789"/>
    <w:rsid w:val="59933A53"/>
    <w:rsid w:val="59990E1F"/>
    <w:rsid w:val="599C7239"/>
    <w:rsid w:val="59AA2232"/>
    <w:rsid w:val="59AD65BC"/>
    <w:rsid w:val="59B05141"/>
    <w:rsid w:val="59B35002"/>
    <w:rsid w:val="59C55A72"/>
    <w:rsid w:val="59DE38D8"/>
    <w:rsid w:val="59EB1FDA"/>
    <w:rsid w:val="59EC2E49"/>
    <w:rsid w:val="59EF1F13"/>
    <w:rsid w:val="59EF41B6"/>
    <w:rsid w:val="59F01F19"/>
    <w:rsid w:val="59F30988"/>
    <w:rsid w:val="59F41E2E"/>
    <w:rsid w:val="59F62E2A"/>
    <w:rsid w:val="59F83D8C"/>
    <w:rsid w:val="5A105313"/>
    <w:rsid w:val="5A1560F8"/>
    <w:rsid w:val="5A162334"/>
    <w:rsid w:val="5A194568"/>
    <w:rsid w:val="5A235E68"/>
    <w:rsid w:val="5A262260"/>
    <w:rsid w:val="5A2751C8"/>
    <w:rsid w:val="5A3165A8"/>
    <w:rsid w:val="5A4F57C5"/>
    <w:rsid w:val="5A5A4234"/>
    <w:rsid w:val="5A5D6D92"/>
    <w:rsid w:val="5A600AA2"/>
    <w:rsid w:val="5A621583"/>
    <w:rsid w:val="5A667194"/>
    <w:rsid w:val="5A6946D0"/>
    <w:rsid w:val="5A6C6590"/>
    <w:rsid w:val="5A7D66E4"/>
    <w:rsid w:val="5A8234C9"/>
    <w:rsid w:val="5A846440"/>
    <w:rsid w:val="5A891A05"/>
    <w:rsid w:val="5A8B1A0D"/>
    <w:rsid w:val="5A96135A"/>
    <w:rsid w:val="5AA20E87"/>
    <w:rsid w:val="5AA47B2D"/>
    <w:rsid w:val="5AAD3281"/>
    <w:rsid w:val="5AB34F2A"/>
    <w:rsid w:val="5AB60596"/>
    <w:rsid w:val="5AB82F33"/>
    <w:rsid w:val="5AC14B15"/>
    <w:rsid w:val="5AC17F4F"/>
    <w:rsid w:val="5AC247F5"/>
    <w:rsid w:val="5AC8279D"/>
    <w:rsid w:val="5AC86500"/>
    <w:rsid w:val="5ACD6080"/>
    <w:rsid w:val="5ACF015B"/>
    <w:rsid w:val="5AE10A9B"/>
    <w:rsid w:val="5AE235B8"/>
    <w:rsid w:val="5AF1187F"/>
    <w:rsid w:val="5AF959E7"/>
    <w:rsid w:val="5B0E3F84"/>
    <w:rsid w:val="5B1423A7"/>
    <w:rsid w:val="5B1C6AA1"/>
    <w:rsid w:val="5B242A4F"/>
    <w:rsid w:val="5B3B1E77"/>
    <w:rsid w:val="5B3F273E"/>
    <w:rsid w:val="5B3F4557"/>
    <w:rsid w:val="5B3F708D"/>
    <w:rsid w:val="5B4240E7"/>
    <w:rsid w:val="5B451547"/>
    <w:rsid w:val="5B4E5B1A"/>
    <w:rsid w:val="5B610563"/>
    <w:rsid w:val="5B6661DE"/>
    <w:rsid w:val="5B6F10D4"/>
    <w:rsid w:val="5B732822"/>
    <w:rsid w:val="5B827C03"/>
    <w:rsid w:val="5B863C58"/>
    <w:rsid w:val="5B952A88"/>
    <w:rsid w:val="5B9F4983"/>
    <w:rsid w:val="5BA67617"/>
    <w:rsid w:val="5BA85095"/>
    <w:rsid w:val="5BAD7275"/>
    <w:rsid w:val="5BAF1C35"/>
    <w:rsid w:val="5BC10EF2"/>
    <w:rsid w:val="5BC80519"/>
    <w:rsid w:val="5BC924C6"/>
    <w:rsid w:val="5BD6637A"/>
    <w:rsid w:val="5BD71FFE"/>
    <w:rsid w:val="5BDD201A"/>
    <w:rsid w:val="5BE576F1"/>
    <w:rsid w:val="5BE9047B"/>
    <w:rsid w:val="5BEA5F9E"/>
    <w:rsid w:val="5BF022BB"/>
    <w:rsid w:val="5C051F64"/>
    <w:rsid w:val="5C07638B"/>
    <w:rsid w:val="5C216A59"/>
    <w:rsid w:val="5C2772AE"/>
    <w:rsid w:val="5C2E2984"/>
    <w:rsid w:val="5C3411DE"/>
    <w:rsid w:val="5C3C0A19"/>
    <w:rsid w:val="5C3D60C4"/>
    <w:rsid w:val="5C3F4E24"/>
    <w:rsid w:val="5C495678"/>
    <w:rsid w:val="5C4C184C"/>
    <w:rsid w:val="5C4E3C31"/>
    <w:rsid w:val="5C4F269A"/>
    <w:rsid w:val="5C512E99"/>
    <w:rsid w:val="5C514AF2"/>
    <w:rsid w:val="5C5750BA"/>
    <w:rsid w:val="5C5C0B27"/>
    <w:rsid w:val="5C6074B2"/>
    <w:rsid w:val="5C6B0E38"/>
    <w:rsid w:val="5C703B0A"/>
    <w:rsid w:val="5C7A3570"/>
    <w:rsid w:val="5C7D4D78"/>
    <w:rsid w:val="5C812DA3"/>
    <w:rsid w:val="5C92187F"/>
    <w:rsid w:val="5C9E6620"/>
    <w:rsid w:val="5CA10A42"/>
    <w:rsid w:val="5CA567FD"/>
    <w:rsid w:val="5CAC2166"/>
    <w:rsid w:val="5CAE72C5"/>
    <w:rsid w:val="5CBA5575"/>
    <w:rsid w:val="5CBD4D7E"/>
    <w:rsid w:val="5CC236B7"/>
    <w:rsid w:val="5CC8384B"/>
    <w:rsid w:val="5CCE4C30"/>
    <w:rsid w:val="5CDC644B"/>
    <w:rsid w:val="5CDE0BED"/>
    <w:rsid w:val="5CE91355"/>
    <w:rsid w:val="5CEE4B93"/>
    <w:rsid w:val="5CF22A1A"/>
    <w:rsid w:val="5CFD08FD"/>
    <w:rsid w:val="5D0674C6"/>
    <w:rsid w:val="5D1E2463"/>
    <w:rsid w:val="5D2E31DB"/>
    <w:rsid w:val="5D407603"/>
    <w:rsid w:val="5D467166"/>
    <w:rsid w:val="5D490528"/>
    <w:rsid w:val="5D4B7416"/>
    <w:rsid w:val="5D4F4D80"/>
    <w:rsid w:val="5D5231F0"/>
    <w:rsid w:val="5D5C3A54"/>
    <w:rsid w:val="5D5D7F4E"/>
    <w:rsid w:val="5D622F2A"/>
    <w:rsid w:val="5D6B533D"/>
    <w:rsid w:val="5D6C4504"/>
    <w:rsid w:val="5D6E2602"/>
    <w:rsid w:val="5D867492"/>
    <w:rsid w:val="5D8674B6"/>
    <w:rsid w:val="5D875B32"/>
    <w:rsid w:val="5D8C6C53"/>
    <w:rsid w:val="5D9669C7"/>
    <w:rsid w:val="5D9A6AD7"/>
    <w:rsid w:val="5D9D3EE5"/>
    <w:rsid w:val="5D9E5E7D"/>
    <w:rsid w:val="5DA1236A"/>
    <w:rsid w:val="5DA81811"/>
    <w:rsid w:val="5DAF334A"/>
    <w:rsid w:val="5DB50922"/>
    <w:rsid w:val="5DC21169"/>
    <w:rsid w:val="5DCF63E8"/>
    <w:rsid w:val="5DD33DCA"/>
    <w:rsid w:val="5DDA40A4"/>
    <w:rsid w:val="5DE14946"/>
    <w:rsid w:val="5DEC6850"/>
    <w:rsid w:val="5DED166F"/>
    <w:rsid w:val="5E001A33"/>
    <w:rsid w:val="5E087EA2"/>
    <w:rsid w:val="5E0D4C13"/>
    <w:rsid w:val="5E1C0C73"/>
    <w:rsid w:val="5E1F1CE2"/>
    <w:rsid w:val="5E26356B"/>
    <w:rsid w:val="5E2955BD"/>
    <w:rsid w:val="5E35168E"/>
    <w:rsid w:val="5E3A5542"/>
    <w:rsid w:val="5E3F147D"/>
    <w:rsid w:val="5E45147E"/>
    <w:rsid w:val="5E515B1F"/>
    <w:rsid w:val="5E5477A1"/>
    <w:rsid w:val="5E5A27FB"/>
    <w:rsid w:val="5E69510F"/>
    <w:rsid w:val="5E6B3392"/>
    <w:rsid w:val="5E762D00"/>
    <w:rsid w:val="5E776E89"/>
    <w:rsid w:val="5E817DAD"/>
    <w:rsid w:val="5E9123BB"/>
    <w:rsid w:val="5E923EF0"/>
    <w:rsid w:val="5E9A782C"/>
    <w:rsid w:val="5EA20FCD"/>
    <w:rsid w:val="5EA5785A"/>
    <w:rsid w:val="5EA86F2D"/>
    <w:rsid w:val="5EB04483"/>
    <w:rsid w:val="5EB77E5E"/>
    <w:rsid w:val="5EB8504F"/>
    <w:rsid w:val="5EBB007D"/>
    <w:rsid w:val="5EBC7D85"/>
    <w:rsid w:val="5EC54D10"/>
    <w:rsid w:val="5EC84E82"/>
    <w:rsid w:val="5ECA09E9"/>
    <w:rsid w:val="5ECD419F"/>
    <w:rsid w:val="5ECD51C5"/>
    <w:rsid w:val="5ED04330"/>
    <w:rsid w:val="5ED358B4"/>
    <w:rsid w:val="5EDE0EB3"/>
    <w:rsid w:val="5EEB469B"/>
    <w:rsid w:val="5EEC2B5E"/>
    <w:rsid w:val="5EF46B9B"/>
    <w:rsid w:val="5EF6627A"/>
    <w:rsid w:val="5EF84A75"/>
    <w:rsid w:val="5EFE389C"/>
    <w:rsid w:val="5F006EEB"/>
    <w:rsid w:val="5F037BD6"/>
    <w:rsid w:val="5F0A3C3C"/>
    <w:rsid w:val="5F1076CA"/>
    <w:rsid w:val="5F1E39DC"/>
    <w:rsid w:val="5F1F77F4"/>
    <w:rsid w:val="5F282A3A"/>
    <w:rsid w:val="5F2E2990"/>
    <w:rsid w:val="5F3336A5"/>
    <w:rsid w:val="5F3460CD"/>
    <w:rsid w:val="5F3642A4"/>
    <w:rsid w:val="5F434FF0"/>
    <w:rsid w:val="5F453853"/>
    <w:rsid w:val="5F47336D"/>
    <w:rsid w:val="5F481C31"/>
    <w:rsid w:val="5F611075"/>
    <w:rsid w:val="5F652DBF"/>
    <w:rsid w:val="5F654B44"/>
    <w:rsid w:val="5F6D6E6D"/>
    <w:rsid w:val="5F7D4812"/>
    <w:rsid w:val="5F83143F"/>
    <w:rsid w:val="5F872E6C"/>
    <w:rsid w:val="5F877FDF"/>
    <w:rsid w:val="5F881135"/>
    <w:rsid w:val="5F8E7C87"/>
    <w:rsid w:val="5F966D92"/>
    <w:rsid w:val="5F9D02B3"/>
    <w:rsid w:val="5FA20BA9"/>
    <w:rsid w:val="5FA93147"/>
    <w:rsid w:val="5FAC3064"/>
    <w:rsid w:val="5FBB2206"/>
    <w:rsid w:val="5FC22725"/>
    <w:rsid w:val="5FC26EAD"/>
    <w:rsid w:val="5FC47AE6"/>
    <w:rsid w:val="5FC87B1A"/>
    <w:rsid w:val="5FDA2D41"/>
    <w:rsid w:val="5FDB0100"/>
    <w:rsid w:val="5FDF58CC"/>
    <w:rsid w:val="5FEA19B9"/>
    <w:rsid w:val="5FFC3184"/>
    <w:rsid w:val="5FFE0B77"/>
    <w:rsid w:val="5FFE3F2F"/>
    <w:rsid w:val="600B038D"/>
    <w:rsid w:val="600D6EB3"/>
    <w:rsid w:val="600E6828"/>
    <w:rsid w:val="601C48B8"/>
    <w:rsid w:val="601F374F"/>
    <w:rsid w:val="60204443"/>
    <w:rsid w:val="602A71DA"/>
    <w:rsid w:val="602B7DCD"/>
    <w:rsid w:val="6032751C"/>
    <w:rsid w:val="6035378C"/>
    <w:rsid w:val="603B208E"/>
    <w:rsid w:val="60480858"/>
    <w:rsid w:val="604C1F7F"/>
    <w:rsid w:val="605327B5"/>
    <w:rsid w:val="60566D60"/>
    <w:rsid w:val="60575D03"/>
    <w:rsid w:val="60613638"/>
    <w:rsid w:val="60665DF2"/>
    <w:rsid w:val="606831C9"/>
    <w:rsid w:val="606F6B1C"/>
    <w:rsid w:val="60777FCC"/>
    <w:rsid w:val="607D393B"/>
    <w:rsid w:val="60860316"/>
    <w:rsid w:val="60954508"/>
    <w:rsid w:val="609F4FC5"/>
    <w:rsid w:val="60AC48B2"/>
    <w:rsid w:val="60AD1F91"/>
    <w:rsid w:val="60AE764A"/>
    <w:rsid w:val="60AF1CD3"/>
    <w:rsid w:val="60C403F8"/>
    <w:rsid w:val="60F12C89"/>
    <w:rsid w:val="60F502A6"/>
    <w:rsid w:val="61015D88"/>
    <w:rsid w:val="610D6ED9"/>
    <w:rsid w:val="6110576C"/>
    <w:rsid w:val="611275D3"/>
    <w:rsid w:val="6117553F"/>
    <w:rsid w:val="611C3EC6"/>
    <w:rsid w:val="6128664E"/>
    <w:rsid w:val="612C65D0"/>
    <w:rsid w:val="6148398F"/>
    <w:rsid w:val="6148524C"/>
    <w:rsid w:val="614E6250"/>
    <w:rsid w:val="6156296E"/>
    <w:rsid w:val="6166389A"/>
    <w:rsid w:val="616C4200"/>
    <w:rsid w:val="616F65D9"/>
    <w:rsid w:val="61757BD3"/>
    <w:rsid w:val="618342FE"/>
    <w:rsid w:val="61877702"/>
    <w:rsid w:val="6194428A"/>
    <w:rsid w:val="61972A6B"/>
    <w:rsid w:val="61973675"/>
    <w:rsid w:val="619823F2"/>
    <w:rsid w:val="61A00105"/>
    <w:rsid w:val="61A02252"/>
    <w:rsid w:val="61AF5926"/>
    <w:rsid w:val="61B07673"/>
    <w:rsid w:val="61BB695B"/>
    <w:rsid w:val="61C568F6"/>
    <w:rsid w:val="61CB4CEA"/>
    <w:rsid w:val="61D10197"/>
    <w:rsid w:val="61D92D3F"/>
    <w:rsid w:val="61DE4911"/>
    <w:rsid w:val="61E61B6D"/>
    <w:rsid w:val="61E61D67"/>
    <w:rsid w:val="61EB4102"/>
    <w:rsid w:val="61EC6C46"/>
    <w:rsid w:val="61F6044E"/>
    <w:rsid w:val="61FF25FE"/>
    <w:rsid w:val="62020B46"/>
    <w:rsid w:val="620453CE"/>
    <w:rsid w:val="6221089D"/>
    <w:rsid w:val="622372B6"/>
    <w:rsid w:val="62297593"/>
    <w:rsid w:val="6246138A"/>
    <w:rsid w:val="624F5841"/>
    <w:rsid w:val="625719FF"/>
    <w:rsid w:val="62671348"/>
    <w:rsid w:val="62671844"/>
    <w:rsid w:val="626C0DC9"/>
    <w:rsid w:val="62842766"/>
    <w:rsid w:val="628F5D15"/>
    <w:rsid w:val="62936A7C"/>
    <w:rsid w:val="629862CD"/>
    <w:rsid w:val="629C0128"/>
    <w:rsid w:val="629C3E3C"/>
    <w:rsid w:val="62A86E8C"/>
    <w:rsid w:val="62B7464E"/>
    <w:rsid w:val="62B9352D"/>
    <w:rsid w:val="62BC1E69"/>
    <w:rsid w:val="62C77767"/>
    <w:rsid w:val="62C90736"/>
    <w:rsid w:val="62CE1EB6"/>
    <w:rsid w:val="62D50450"/>
    <w:rsid w:val="62DE332C"/>
    <w:rsid w:val="62E0683C"/>
    <w:rsid w:val="62E212B8"/>
    <w:rsid w:val="62E4019E"/>
    <w:rsid w:val="62EC386E"/>
    <w:rsid w:val="62ED1CE4"/>
    <w:rsid w:val="62EE6C6B"/>
    <w:rsid w:val="63031D34"/>
    <w:rsid w:val="6310719F"/>
    <w:rsid w:val="631C64CD"/>
    <w:rsid w:val="631C710C"/>
    <w:rsid w:val="63257DB5"/>
    <w:rsid w:val="632D752E"/>
    <w:rsid w:val="6343285D"/>
    <w:rsid w:val="634F0032"/>
    <w:rsid w:val="6354762B"/>
    <w:rsid w:val="6356637E"/>
    <w:rsid w:val="63682443"/>
    <w:rsid w:val="636F5CFE"/>
    <w:rsid w:val="63767C0F"/>
    <w:rsid w:val="638657A9"/>
    <w:rsid w:val="638728E0"/>
    <w:rsid w:val="639B7FAB"/>
    <w:rsid w:val="639C369B"/>
    <w:rsid w:val="63A412F4"/>
    <w:rsid w:val="63BC168C"/>
    <w:rsid w:val="63C00D34"/>
    <w:rsid w:val="63C64CC4"/>
    <w:rsid w:val="63D36AC2"/>
    <w:rsid w:val="63D8711B"/>
    <w:rsid w:val="63DB71AF"/>
    <w:rsid w:val="63DD5FAB"/>
    <w:rsid w:val="63DD6194"/>
    <w:rsid w:val="63E0008D"/>
    <w:rsid w:val="63E469AB"/>
    <w:rsid w:val="63E73024"/>
    <w:rsid w:val="63FA32A6"/>
    <w:rsid w:val="64080758"/>
    <w:rsid w:val="640C4582"/>
    <w:rsid w:val="640F65E2"/>
    <w:rsid w:val="64116C07"/>
    <w:rsid w:val="641526D4"/>
    <w:rsid w:val="641907AB"/>
    <w:rsid w:val="6419335D"/>
    <w:rsid w:val="641A1684"/>
    <w:rsid w:val="641B10AE"/>
    <w:rsid w:val="64215D83"/>
    <w:rsid w:val="6422650A"/>
    <w:rsid w:val="6423720E"/>
    <w:rsid w:val="6429224F"/>
    <w:rsid w:val="64305D43"/>
    <w:rsid w:val="6444397E"/>
    <w:rsid w:val="6448384F"/>
    <w:rsid w:val="64492359"/>
    <w:rsid w:val="644C7AD9"/>
    <w:rsid w:val="645851A4"/>
    <w:rsid w:val="64616852"/>
    <w:rsid w:val="64617446"/>
    <w:rsid w:val="64691E67"/>
    <w:rsid w:val="647036A7"/>
    <w:rsid w:val="6481152D"/>
    <w:rsid w:val="64835F2F"/>
    <w:rsid w:val="648376F4"/>
    <w:rsid w:val="648D7128"/>
    <w:rsid w:val="648E0B6C"/>
    <w:rsid w:val="648E0F1D"/>
    <w:rsid w:val="64942F5A"/>
    <w:rsid w:val="649D6B4D"/>
    <w:rsid w:val="64A44CD0"/>
    <w:rsid w:val="64A82D1D"/>
    <w:rsid w:val="64AF03C6"/>
    <w:rsid w:val="64BC4051"/>
    <w:rsid w:val="64C0648C"/>
    <w:rsid w:val="64C20542"/>
    <w:rsid w:val="64C33983"/>
    <w:rsid w:val="64C913EF"/>
    <w:rsid w:val="64D80423"/>
    <w:rsid w:val="64F41897"/>
    <w:rsid w:val="64FE0A40"/>
    <w:rsid w:val="65103F60"/>
    <w:rsid w:val="651725E2"/>
    <w:rsid w:val="651D1351"/>
    <w:rsid w:val="651F4322"/>
    <w:rsid w:val="6520628A"/>
    <w:rsid w:val="653836D8"/>
    <w:rsid w:val="654504B0"/>
    <w:rsid w:val="65495789"/>
    <w:rsid w:val="65522568"/>
    <w:rsid w:val="655C040A"/>
    <w:rsid w:val="656270FC"/>
    <w:rsid w:val="65713082"/>
    <w:rsid w:val="657555F0"/>
    <w:rsid w:val="658557B5"/>
    <w:rsid w:val="65865C35"/>
    <w:rsid w:val="6588556D"/>
    <w:rsid w:val="658F6A6C"/>
    <w:rsid w:val="65904B6C"/>
    <w:rsid w:val="659D06B1"/>
    <w:rsid w:val="65A519A5"/>
    <w:rsid w:val="65AF0AFE"/>
    <w:rsid w:val="65B3544F"/>
    <w:rsid w:val="65B71986"/>
    <w:rsid w:val="65B76467"/>
    <w:rsid w:val="65BA3CBF"/>
    <w:rsid w:val="65CA4240"/>
    <w:rsid w:val="65D11DD0"/>
    <w:rsid w:val="65D973F3"/>
    <w:rsid w:val="65DC78DE"/>
    <w:rsid w:val="65DF27A8"/>
    <w:rsid w:val="65E848A6"/>
    <w:rsid w:val="65E93185"/>
    <w:rsid w:val="65FC00DB"/>
    <w:rsid w:val="65FE5142"/>
    <w:rsid w:val="65FE6126"/>
    <w:rsid w:val="66196874"/>
    <w:rsid w:val="661E369F"/>
    <w:rsid w:val="663B7B68"/>
    <w:rsid w:val="663E239F"/>
    <w:rsid w:val="663E2429"/>
    <w:rsid w:val="664114DB"/>
    <w:rsid w:val="664E4256"/>
    <w:rsid w:val="66536301"/>
    <w:rsid w:val="665D3DF1"/>
    <w:rsid w:val="665F5CC2"/>
    <w:rsid w:val="666F44EC"/>
    <w:rsid w:val="66764E2F"/>
    <w:rsid w:val="667E00F5"/>
    <w:rsid w:val="668308A1"/>
    <w:rsid w:val="668652F7"/>
    <w:rsid w:val="66881EBA"/>
    <w:rsid w:val="66900CCE"/>
    <w:rsid w:val="66A472E9"/>
    <w:rsid w:val="66B37847"/>
    <w:rsid w:val="66BB1E72"/>
    <w:rsid w:val="66D45137"/>
    <w:rsid w:val="66E5241F"/>
    <w:rsid w:val="66ED5155"/>
    <w:rsid w:val="66F10D62"/>
    <w:rsid w:val="66F3125E"/>
    <w:rsid w:val="66FC43B4"/>
    <w:rsid w:val="66FF5CB9"/>
    <w:rsid w:val="67040162"/>
    <w:rsid w:val="670441B4"/>
    <w:rsid w:val="670B046E"/>
    <w:rsid w:val="670D2137"/>
    <w:rsid w:val="671414B5"/>
    <w:rsid w:val="6717020B"/>
    <w:rsid w:val="67175A6F"/>
    <w:rsid w:val="67187FD2"/>
    <w:rsid w:val="672521FC"/>
    <w:rsid w:val="67254BB3"/>
    <w:rsid w:val="672B7E5A"/>
    <w:rsid w:val="672C00D4"/>
    <w:rsid w:val="673A2525"/>
    <w:rsid w:val="673B14AC"/>
    <w:rsid w:val="674F6C24"/>
    <w:rsid w:val="67546785"/>
    <w:rsid w:val="67560E79"/>
    <w:rsid w:val="67561AC8"/>
    <w:rsid w:val="675B57F5"/>
    <w:rsid w:val="675C2472"/>
    <w:rsid w:val="676207E2"/>
    <w:rsid w:val="67626627"/>
    <w:rsid w:val="676E7D8A"/>
    <w:rsid w:val="677177E1"/>
    <w:rsid w:val="677A731E"/>
    <w:rsid w:val="677A7799"/>
    <w:rsid w:val="678A7A73"/>
    <w:rsid w:val="6796402D"/>
    <w:rsid w:val="67990F83"/>
    <w:rsid w:val="67993ACA"/>
    <w:rsid w:val="67B11238"/>
    <w:rsid w:val="67B12520"/>
    <w:rsid w:val="67B50241"/>
    <w:rsid w:val="67BB5B61"/>
    <w:rsid w:val="67BC5CDC"/>
    <w:rsid w:val="67C221BB"/>
    <w:rsid w:val="67C225FA"/>
    <w:rsid w:val="67C27BF3"/>
    <w:rsid w:val="67D03AA5"/>
    <w:rsid w:val="67D2542E"/>
    <w:rsid w:val="67DA7677"/>
    <w:rsid w:val="67E429B8"/>
    <w:rsid w:val="67E549BC"/>
    <w:rsid w:val="67F70B1C"/>
    <w:rsid w:val="68043F5B"/>
    <w:rsid w:val="680C6E97"/>
    <w:rsid w:val="681361D7"/>
    <w:rsid w:val="681E4413"/>
    <w:rsid w:val="681E7F15"/>
    <w:rsid w:val="68243BDF"/>
    <w:rsid w:val="68280602"/>
    <w:rsid w:val="682F09FB"/>
    <w:rsid w:val="68305A3B"/>
    <w:rsid w:val="68363F74"/>
    <w:rsid w:val="68383846"/>
    <w:rsid w:val="6845360D"/>
    <w:rsid w:val="68494132"/>
    <w:rsid w:val="684B46A6"/>
    <w:rsid w:val="684C2C80"/>
    <w:rsid w:val="68502BA0"/>
    <w:rsid w:val="68591742"/>
    <w:rsid w:val="685C6AB9"/>
    <w:rsid w:val="685E1EF3"/>
    <w:rsid w:val="686104A7"/>
    <w:rsid w:val="686143C4"/>
    <w:rsid w:val="686526D6"/>
    <w:rsid w:val="68686E5D"/>
    <w:rsid w:val="686C19C8"/>
    <w:rsid w:val="688D09C2"/>
    <w:rsid w:val="688F358C"/>
    <w:rsid w:val="68963E87"/>
    <w:rsid w:val="68966440"/>
    <w:rsid w:val="689D1630"/>
    <w:rsid w:val="689F5F01"/>
    <w:rsid w:val="68A220B9"/>
    <w:rsid w:val="68A30D82"/>
    <w:rsid w:val="68A85790"/>
    <w:rsid w:val="68AA17D5"/>
    <w:rsid w:val="68B14D86"/>
    <w:rsid w:val="68BF03BF"/>
    <w:rsid w:val="68BF3D49"/>
    <w:rsid w:val="68CF2F8F"/>
    <w:rsid w:val="68DC2FFF"/>
    <w:rsid w:val="68E11230"/>
    <w:rsid w:val="68E520C2"/>
    <w:rsid w:val="68E76BFE"/>
    <w:rsid w:val="68EA084D"/>
    <w:rsid w:val="69041B56"/>
    <w:rsid w:val="691D4E0B"/>
    <w:rsid w:val="6925470C"/>
    <w:rsid w:val="69280F02"/>
    <w:rsid w:val="692971E0"/>
    <w:rsid w:val="6931375B"/>
    <w:rsid w:val="69324050"/>
    <w:rsid w:val="693A1A7F"/>
    <w:rsid w:val="693B0DD9"/>
    <w:rsid w:val="693F7516"/>
    <w:rsid w:val="69440334"/>
    <w:rsid w:val="695165C0"/>
    <w:rsid w:val="6952130B"/>
    <w:rsid w:val="69536B7A"/>
    <w:rsid w:val="695A62A9"/>
    <w:rsid w:val="696F5049"/>
    <w:rsid w:val="69725D1B"/>
    <w:rsid w:val="69807B92"/>
    <w:rsid w:val="69893FCA"/>
    <w:rsid w:val="698D0A90"/>
    <w:rsid w:val="698D3803"/>
    <w:rsid w:val="698D3F9E"/>
    <w:rsid w:val="69902DE0"/>
    <w:rsid w:val="69A43FEE"/>
    <w:rsid w:val="69B339A6"/>
    <w:rsid w:val="69BB6074"/>
    <w:rsid w:val="69BF7718"/>
    <w:rsid w:val="69C47414"/>
    <w:rsid w:val="69C570A4"/>
    <w:rsid w:val="69D93D8F"/>
    <w:rsid w:val="69E43168"/>
    <w:rsid w:val="69E4632D"/>
    <w:rsid w:val="69E629A0"/>
    <w:rsid w:val="69F61E46"/>
    <w:rsid w:val="69F72260"/>
    <w:rsid w:val="69F97FD1"/>
    <w:rsid w:val="69FB7292"/>
    <w:rsid w:val="6A0C7458"/>
    <w:rsid w:val="6A100831"/>
    <w:rsid w:val="6A240234"/>
    <w:rsid w:val="6A265FF8"/>
    <w:rsid w:val="6A2C558E"/>
    <w:rsid w:val="6A2E4938"/>
    <w:rsid w:val="6A2F4319"/>
    <w:rsid w:val="6A390FD6"/>
    <w:rsid w:val="6A3A2D6F"/>
    <w:rsid w:val="6A3D4557"/>
    <w:rsid w:val="6A425C54"/>
    <w:rsid w:val="6A4A5207"/>
    <w:rsid w:val="6A502E40"/>
    <w:rsid w:val="6A573FA0"/>
    <w:rsid w:val="6A5C787F"/>
    <w:rsid w:val="6A603423"/>
    <w:rsid w:val="6A6E1B96"/>
    <w:rsid w:val="6A6F70A6"/>
    <w:rsid w:val="6A7663BC"/>
    <w:rsid w:val="6A817536"/>
    <w:rsid w:val="6A897709"/>
    <w:rsid w:val="6A9519AC"/>
    <w:rsid w:val="6AA6259F"/>
    <w:rsid w:val="6AA8629A"/>
    <w:rsid w:val="6AAA23C8"/>
    <w:rsid w:val="6AAD7AD3"/>
    <w:rsid w:val="6AB0529A"/>
    <w:rsid w:val="6AB51A0C"/>
    <w:rsid w:val="6AB72B7D"/>
    <w:rsid w:val="6ABB698F"/>
    <w:rsid w:val="6AC318C3"/>
    <w:rsid w:val="6AC73F20"/>
    <w:rsid w:val="6AC93F8C"/>
    <w:rsid w:val="6ACA6145"/>
    <w:rsid w:val="6ACC43AF"/>
    <w:rsid w:val="6ACF3867"/>
    <w:rsid w:val="6AD67FB5"/>
    <w:rsid w:val="6AD71AAF"/>
    <w:rsid w:val="6ADE2818"/>
    <w:rsid w:val="6AE339D2"/>
    <w:rsid w:val="6AE64043"/>
    <w:rsid w:val="6AE81DFA"/>
    <w:rsid w:val="6AE965EB"/>
    <w:rsid w:val="6AEA0B04"/>
    <w:rsid w:val="6AF464F5"/>
    <w:rsid w:val="6AF465D2"/>
    <w:rsid w:val="6AF6727B"/>
    <w:rsid w:val="6AF93927"/>
    <w:rsid w:val="6B022932"/>
    <w:rsid w:val="6B136D2A"/>
    <w:rsid w:val="6B1A4EF8"/>
    <w:rsid w:val="6B231E28"/>
    <w:rsid w:val="6B2B0C5E"/>
    <w:rsid w:val="6B3249DB"/>
    <w:rsid w:val="6B3A456E"/>
    <w:rsid w:val="6B3B41AF"/>
    <w:rsid w:val="6B3D4A1D"/>
    <w:rsid w:val="6B3F75D2"/>
    <w:rsid w:val="6B4044B1"/>
    <w:rsid w:val="6B43411E"/>
    <w:rsid w:val="6B462AD5"/>
    <w:rsid w:val="6B4B484A"/>
    <w:rsid w:val="6B4F6E69"/>
    <w:rsid w:val="6B762326"/>
    <w:rsid w:val="6B7B78A7"/>
    <w:rsid w:val="6B7D2D78"/>
    <w:rsid w:val="6B821317"/>
    <w:rsid w:val="6B8B02D3"/>
    <w:rsid w:val="6B980C2B"/>
    <w:rsid w:val="6BA80C82"/>
    <w:rsid w:val="6BAE4C93"/>
    <w:rsid w:val="6BB40C06"/>
    <w:rsid w:val="6BB52452"/>
    <w:rsid w:val="6BCE68DD"/>
    <w:rsid w:val="6BCF2F82"/>
    <w:rsid w:val="6BD74BFF"/>
    <w:rsid w:val="6BDA419C"/>
    <w:rsid w:val="6BDE033A"/>
    <w:rsid w:val="6BDE034D"/>
    <w:rsid w:val="6BE115FE"/>
    <w:rsid w:val="6BF3384B"/>
    <w:rsid w:val="6C013D80"/>
    <w:rsid w:val="6C090581"/>
    <w:rsid w:val="6C091D59"/>
    <w:rsid w:val="6C0E0ED2"/>
    <w:rsid w:val="6C19434B"/>
    <w:rsid w:val="6C196C7D"/>
    <w:rsid w:val="6C274D37"/>
    <w:rsid w:val="6C36410D"/>
    <w:rsid w:val="6C4D2041"/>
    <w:rsid w:val="6C50417D"/>
    <w:rsid w:val="6C54593C"/>
    <w:rsid w:val="6C612530"/>
    <w:rsid w:val="6C6A7B10"/>
    <w:rsid w:val="6C811F29"/>
    <w:rsid w:val="6C861C36"/>
    <w:rsid w:val="6C8D4F99"/>
    <w:rsid w:val="6C8E6453"/>
    <w:rsid w:val="6C90223F"/>
    <w:rsid w:val="6C941652"/>
    <w:rsid w:val="6C9D5743"/>
    <w:rsid w:val="6CA42E7D"/>
    <w:rsid w:val="6CAF40C7"/>
    <w:rsid w:val="6CB341D1"/>
    <w:rsid w:val="6CB42DAF"/>
    <w:rsid w:val="6CC01C26"/>
    <w:rsid w:val="6CC22A75"/>
    <w:rsid w:val="6CD3550E"/>
    <w:rsid w:val="6CE37C55"/>
    <w:rsid w:val="6CF13725"/>
    <w:rsid w:val="6CFE2728"/>
    <w:rsid w:val="6D010BA8"/>
    <w:rsid w:val="6D047084"/>
    <w:rsid w:val="6D0B5A4A"/>
    <w:rsid w:val="6D1241F8"/>
    <w:rsid w:val="6D156955"/>
    <w:rsid w:val="6D1B323A"/>
    <w:rsid w:val="6D324D5B"/>
    <w:rsid w:val="6D3A5FFE"/>
    <w:rsid w:val="6D3E3663"/>
    <w:rsid w:val="6D407742"/>
    <w:rsid w:val="6D444866"/>
    <w:rsid w:val="6D4532F8"/>
    <w:rsid w:val="6D460913"/>
    <w:rsid w:val="6D497DF9"/>
    <w:rsid w:val="6D507AE2"/>
    <w:rsid w:val="6D5E6EDE"/>
    <w:rsid w:val="6D6D452E"/>
    <w:rsid w:val="6D7960E5"/>
    <w:rsid w:val="6D821064"/>
    <w:rsid w:val="6D916388"/>
    <w:rsid w:val="6DA23651"/>
    <w:rsid w:val="6DB7735E"/>
    <w:rsid w:val="6DBF53DB"/>
    <w:rsid w:val="6DC148FA"/>
    <w:rsid w:val="6DCB25FB"/>
    <w:rsid w:val="6DCF680A"/>
    <w:rsid w:val="6DD00670"/>
    <w:rsid w:val="6DD139F5"/>
    <w:rsid w:val="6DD15C38"/>
    <w:rsid w:val="6DDC5DC8"/>
    <w:rsid w:val="6DDF4E94"/>
    <w:rsid w:val="6DDF6FEE"/>
    <w:rsid w:val="6DE202B1"/>
    <w:rsid w:val="6DE803CC"/>
    <w:rsid w:val="6DE922EA"/>
    <w:rsid w:val="6DEA2EAC"/>
    <w:rsid w:val="6DF14E06"/>
    <w:rsid w:val="6DF20F30"/>
    <w:rsid w:val="6DF528C2"/>
    <w:rsid w:val="6DFE6E0A"/>
    <w:rsid w:val="6E02368D"/>
    <w:rsid w:val="6E042BEB"/>
    <w:rsid w:val="6E052B3A"/>
    <w:rsid w:val="6E130393"/>
    <w:rsid w:val="6E1D0BCD"/>
    <w:rsid w:val="6E275952"/>
    <w:rsid w:val="6E284E3B"/>
    <w:rsid w:val="6E3259A7"/>
    <w:rsid w:val="6E335EAC"/>
    <w:rsid w:val="6E3753C1"/>
    <w:rsid w:val="6E45731B"/>
    <w:rsid w:val="6E467205"/>
    <w:rsid w:val="6E4E3407"/>
    <w:rsid w:val="6E5671C1"/>
    <w:rsid w:val="6E567CE8"/>
    <w:rsid w:val="6E5829A3"/>
    <w:rsid w:val="6E597E28"/>
    <w:rsid w:val="6E6A6FEA"/>
    <w:rsid w:val="6E7B748A"/>
    <w:rsid w:val="6E8D541A"/>
    <w:rsid w:val="6E8F535C"/>
    <w:rsid w:val="6E911FD4"/>
    <w:rsid w:val="6E9C1600"/>
    <w:rsid w:val="6EC67286"/>
    <w:rsid w:val="6ED203F4"/>
    <w:rsid w:val="6ED44793"/>
    <w:rsid w:val="6EDC1344"/>
    <w:rsid w:val="6EEA668D"/>
    <w:rsid w:val="6EED2552"/>
    <w:rsid w:val="6EF52985"/>
    <w:rsid w:val="6EF60047"/>
    <w:rsid w:val="6EFB556C"/>
    <w:rsid w:val="6F0557E6"/>
    <w:rsid w:val="6F0B7FCE"/>
    <w:rsid w:val="6F0D5E3C"/>
    <w:rsid w:val="6F1D4E4E"/>
    <w:rsid w:val="6F260EDF"/>
    <w:rsid w:val="6F2D5781"/>
    <w:rsid w:val="6F365528"/>
    <w:rsid w:val="6F371D8F"/>
    <w:rsid w:val="6F37467A"/>
    <w:rsid w:val="6F5335E5"/>
    <w:rsid w:val="6F581D68"/>
    <w:rsid w:val="6F5C3F04"/>
    <w:rsid w:val="6F64144C"/>
    <w:rsid w:val="6F6571D2"/>
    <w:rsid w:val="6F66712A"/>
    <w:rsid w:val="6F6E39A0"/>
    <w:rsid w:val="6F6E7020"/>
    <w:rsid w:val="6F761F07"/>
    <w:rsid w:val="6FA40079"/>
    <w:rsid w:val="6FAF22BD"/>
    <w:rsid w:val="6FB86520"/>
    <w:rsid w:val="6FCB6FB1"/>
    <w:rsid w:val="6FE2710E"/>
    <w:rsid w:val="6FE32E94"/>
    <w:rsid w:val="6FE36AF0"/>
    <w:rsid w:val="6FE477E8"/>
    <w:rsid w:val="6FEE6146"/>
    <w:rsid w:val="6FFB2B47"/>
    <w:rsid w:val="700542EC"/>
    <w:rsid w:val="70105602"/>
    <w:rsid w:val="70134DF9"/>
    <w:rsid w:val="701463A8"/>
    <w:rsid w:val="70285698"/>
    <w:rsid w:val="702E1D8E"/>
    <w:rsid w:val="702E36AC"/>
    <w:rsid w:val="70314C01"/>
    <w:rsid w:val="703F486A"/>
    <w:rsid w:val="7044027B"/>
    <w:rsid w:val="7049747A"/>
    <w:rsid w:val="705642DC"/>
    <w:rsid w:val="7057391D"/>
    <w:rsid w:val="705A0F29"/>
    <w:rsid w:val="705A6303"/>
    <w:rsid w:val="70661C3D"/>
    <w:rsid w:val="70692E4D"/>
    <w:rsid w:val="706A5FCD"/>
    <w:rsid w:val="707524B0"/>
    <w:rsid w:val="707C1F5B"/>
    <w:rsid w:val="707D2D49"/>
    <w:rsid w:val="707E1D86"/>
    <w:rsid w:val="70847B7F"/>
    <w:rsid w:val="708A40AC"/>
    <w:rsid w:val="708F3C38"/>
    <w:rsid w:val="70977E76"/>
    <w:rsid w:val="709C706E"/>
    <w:rsid w:val="709E63EE"/>
    <w:rsid w:val="70A100F3"/>
    <w:rsid w:val="70A22BC8"/>
    <w:rsid w:val="70A6543C"/>
    <w:rsid w:val="70A90B76"/>
    <w:rsid w:val="70C212BB"/>
    <w:rsid w:val="70C3285D"/>
    <w:rsid w:val="70CF1818"/>
    <w:rsid w:val="70D33614"/>
    <w:rsid w:val="70DF0D26"/>
    <w:rsid w:val="70E665E2"/>
    <w:rsid w:val="70EA5F87"/>
    <w:rsid w:val="70F93017"/>
    <w:rsid w:val="710354AD"/>
    <w:rsid w:val="710B428A"/>
    <w:rsid w:val="710D2984"/>
    <w:rsid w:val="71104699"/>
    <w:rsid w:val="71164C00"/>
    <w:rsid w:val="712F05D2"/>
    <w:rsid w:val="71313D75"/>
    <w:rsid w:val="71324502"/>
    <w:rsid w:val="71334E77"/>
    <w:rsid w:val="71351A52"/>
    <w:rsid w:val="713C71C2"/>
    <w:rsid w:val="71417D95"/>
    <w:rsid w:val="71457902"/>
    <w:rsid w:val="71505B7F"/>
    <w:rsid w:val="716331B2"/>
    <w:rsid w:val="716A48F8"/>
    <w:rsid w:val="716D0FCC"/>
    <w:rsid w:val="71704259"/>
    <w:rsid w:val="717D289E"/>
    <w:rsid w:val="718D14F6"/>
    <w:rsid w:val="719218D6"/>
    <w:rsid w:val="71942565"/>
    <w:rsid w:val="71945EE3"/>
    <w:rsid w:val="719D489D"/>
    <w:rsid w:val="71AB6CD2"/>
    <w:rsid w:val="71AF395C"/>
    <w:rsid w:val="71B33913"/>
    <w:rsid w:val="71B71879"/>
    <w:rsid w:val="71CC4B96"/>
    <w:rsid w:val="71CF5CC5"/>
    <w:rsid w:val="71D07B2C"/>
    <w:rsid w:val="71D1148F"/>
    <w:rsid w:val="71DA7738"/>
    <w:rsid w:val="71E4140F"/>
    <w:rsid w:val="71E479EF"/>
    <w:rsid w:val="71E60ED4"/>
    <w:rsid w:val="71E91B2D"/>
    <w:rsid w:val="71F2398C"/>
    <w:rsid w:val="721162B1"/>
    <w:rsid w:val="72167CFC"/>
    <w:rsid w:val="72261090"/>
    <w:rsid w:val="722E0255"/>
    <w:rsid w:val="7237552F"/>
    <w:rsid w:val="723814D9"/>
    <w:rsid w:val="723A2857"/>
    <w:rsid w:val="723B0E22"/>
    <w:rsid w:val="724C61E0"/>
    <w:rsid w:val="724D3696"/>
    <w:rsid w:val="72522C05"/>
    <w:rsid w:val="72581933"/>
    <w:rsid w:val="72654AA1"/>
    <w:rsid w:val="72683911"/>
    <w:rsid w:val="726864F7"/>
    <w:rsid w:val="72770656"/>
    <w:rsid w:val="72806FEB"/>
    <w:rsid w:val="728576DC"/>
    <w:rsid w:val="728D2AAD"/>
    <w:rsid w:val="729777CE"/>
    <w:rsid w:val="729A77AF"/>
    <w:rsid w:val="729B19CB"/>
    <w:rsid w:val="729C28A0"/>
    <w:rsid w:val="729E7060"/>
    <w:rsid w:val="72AB6428"/>
    <w:rsid w:val="72AF7717"/>
    <w:rsid w:val="72C01692"/>
    <w:rsid w:val="72C606B1"/>
    <w:rsid w:val="72D25180"/>
    <w:rsid w:val="72D55111"/>
    <w:rsid w:val="72D95848"/>
    <w:rsid w:val="72DB4DE5"/>
    <w:rsid w:val="72E62AC1"/>
    <w:rsid w:val="72EE7679"/>
    <w:rsid w:val="72FB2BAD"/>
    <w:rsid w:val="730564F6"/>
    <w:rsid w:val="730B0D82"/>
    <w:rsid w:val="730F07EC"/>
    <w:rsid w:val="73142CE1"/>
    <w:rsid w:val="731468B0"/>
    <w:rsid w:val="73173F72"/>
    <w:rsid w:val="731A098B"/>
    <w:rsid w:val="731C2AB0"/>
    <w:rsid w:val="731E0DD5"/>
    <w:rsid w:val="73241529"/>
    <w:rsid w:val="7329380E"/>
    <w:rsid w:val="732C3501"/>
    <w:rsid w:val="733158A7"/>
    <w:rsid w:val="7336333D"/>
    <w:rsid w:val="73372F8F"/>
    <w:rsid w:val="734255B8"/>
    <w:rsid w:val="734261E3"/>
    <w:rsid w:val="73493F99"/>
    <w:rsid w:val="734D41D9"/>
    <w:rsid w:val="73533040"/>
    <w:rsid w:val="73550AEE"/>
    <w:rsid w:val="73595486"/>
    <w:rsid w:val="735B2304"/>
    <w:rsid w:val="735D6D90"/>
    <w:rsid w:val="736F69CB"/>
    <w:rsid w:val="73783B28"/>
    <w:rsid w:val="737C2108"/>
    <w:rsid w:val="737C4A75"/>
    <w:rsid w:val="737D693A"/>
    <w:rsid w:val="737F696C"/>
    <w:rsid w:val="7382416B"/>
    <w:rsid w:val="73833A6B"/>
    <w:rsid w:val="73860E39"/>
    <w:rsid w:val="738F50F9"/>
    <w:rsid w:val="739020F5"/>
    <w:rsid w:val="73922BBC"/>
    <w:rsid w:val="739850FB"/>
    <w:rsid w:val="73992BDC"/>
    <w:rsid w:val="739B4E5B"/>
    <w:rsid w:val="73A12656"/>
    <w:rsid w:val="73A154F5"/>
    <w:rsid w:val="73A258A5"/>
    <w:rsid w:val="73A50E5F"/>
    <w:rsid w:val="73BD1C46"/>
    <w:rsid w:val="73C11C35"/>
    <w:rsid w:val="73C37EBD"/>
    <w:rsid w:val="73D420A7"/>
    <w:rsid w:val="73DA16EC"/>
    <w:rsid w:val="73DA7093"/>
    <w:rsid w:val="73DD3136"/>
    <w:rsid w:val="73E02CB2"/>
    <w:rsid w:val="73E609F6"/>
    <w:rsid w:val="73E63EF4"/>
    <w:rsid w:val="73F57670"/>
    <w:rsid w:val="73FB0CF1"/>
    <w:rsid w:val="7401538C"/>
    <w:rsid w:val="74066A26"/>
    <w:rsid w:val="740966C4"/>
    <w:rsid w:val="740D1B70"/>
    <w:rsid w:val="74215AEF"/>
    <w:rsid w:val="742358B9"/>
    <w:rsid w:val="74242B43"/>
    <w:rsid w:val="74245A22"/>
    <w:rsid w:val="74352E12"/>
    <w:rsid w:val="743B4D46"/>
    <w:rsid w:val="7449203D"/>
    <w:rsid w:val="74522AFA"/>
    <w:rsid w:val="74527403"/>
    <w:rsid w:val="746F1166"/>
    <w:rsid w:val="747506DF"/>
    <w:rsid w:val="747B56E6"/>
    <w:rsid w:val="74864FC2"/>
    <w:rsid w:val="74876FD5"/>
    <w:rsid w:val="74885903"/>
    <w:rsid w:val="748C5E06"/>
    <w:rsid w:val="7497437F"/>
    <w:rsid w:val="74A81B1D"/>
    <w:rsid w:val="74A95205"/>
    <w:rsid w:val="74B4605F"/>
    <w:rsid w:val="74C355DC"/>
    <w:rsid w:val="74C9204A"/>
    <w:rsid w:val="74EA15BB"/>
    <w:rsid w:val="74F10F59"/>
    <w:rsid w:val="74F63EEF"/>
    <w:rsid w:val="74FD41BD"/>
    <w:rsid w:val="75093186"/>
    <w:rsid w:val="750D7758"/>
    <w:rsid w:val="75100B2D"/>
    <w:rsid w:val="751725B8"/>
    <w:rsid w:val="75191453"/>
    <w:rsid w:val="75224643"/>
    <w:rsid w:val="75253A05"/>
    <w:rsid w:val="75306A5D"/>
    <w:rsid w:val="753E53F4"/>
    <w:rsid w:val="753F67CC"/>
    <w:rsid w:val="75433B08"/>
    <w:rsid w:val="75444ABE"/>
    <w:rsid w:val="754A0F23"/>
    <w:rsid w:val="754D3FCF"/>
    <w:rsid w:val="7553172C"/>
    <w:rsid w:val="7555144C"/>
    <w:rsid w:val="757254FE"/>
    <w:rsid w:val="757B1B72"/>
    <w:rsid w:val="758D4269"/>
    <w:rsid w:val="758F7F65"/>
    <w:rsid w:val="75960829"/>
    <w:rsid w:val="759825CD"/>
    <w:rsid w:val="75A353CC"/>
    <w:rsid w:val="75A73C32"/>
    <w:rsid w:val="75BE0F62"/>
    <w:rsid w:val="75BF321D"/>
    <w:rsid w:val="75C80A78"/>
    <w:rsid w:val="75D26653"/>
    <w:rsid w:val="75D45DFA"/>
    <w:rsid w:val="75D5077F"/>
    <w:rsid w:val="75E42AE8"/>
    <w:rsid w:val="75EB05D9"/>
    <w:rsid w:val="75EC3CEA"/>
    <w:rsid w:val="76014149"/>
    <w:rsid w:val="76060BFE"/>
    <w:rsid w:val="76110AC7"/>
    <w:rsid w:val="761A66B6"/>
    <w:rsid w:val="761B232D"/>
    <w:rsid w:val="761F49A8"/>
    <w:rsid w:val="76285241"/>
    <w:rsid w:val="76344422"/>
    <w:rsid w:val="763B0EDB"/>
    <w:rsid w:val="76420FEC"/>
    <w:rsid w:val="7649643E"/>
    <w:rsid w:val="766078FC"/>
    <w:rsid w:val="768F2641"/>
    <w:rsid w:val="76907318"/>
    <w:rsid w:val="76961522"/>
    <w:rsid w:val="769F2961"/>
    <w:rsid w:val="76B6531A"/>
    <w:rsid w:val="76B85E38"/>
    <w:rsid w:val="76C95B94"/>
    <w:rsid w:val="76E97048"/>
    <w:rsid w:val="76F10374"/>
    <w:rsid w:val="76F34F80"/>
    <w:rsid w:val="76F87BC0"/>
    <w:rsid w:val="77032222"/>
    <w:rsid w:val="77040372"/>
    <w:rsid w:val="77042E12"/>
    <w:rsid w:val="77070EA7"/>
    <w:rsid w:val="770872FC"/>
    <w:rsid w:val="77093BCD"/>
    <w:rsid w:val="77111BA5"/>
    <w:rsid w:val="77176A7E"/>
    <w:rsid w:val="77176EEA"/>
    <w:rsid w:val="7718299F"/>
    <w:rsid w:val="77185016"/>
    <w:rsid w:val="771C64B6"/>
    <w:rsid w:val="77225CF1"/>
    <w:rsid w:val="77272820"/>
    <w:rsid w:val="772806C1"/>
    <w:rsid w:val="77283A7B"/>
    <w:rsid w:val="772A1D8C"/>
    <w:rsid w:val="772B0E02"/>
    <w:rsid w:val="772C5C90"/>
    <w:rsid w:val="77342819"/>
    <w:rsid w:val="773E5A40"/>
    <w:rsid w:val="7757328D"/>
    <w:rsid w:val="775B2FB5"/>
    <w:rsid w:val="775F6132"/>
    <w:rsid w:val="776015AE"/>
    <w:rsid w:val="77604721"/>
    <w:rsid w:val="77610B26"/>
    <w:rsid w:val="77620953"/>
    <w:rsid w:val="77672626"/>
    <w:rsid w:val="778F0CF5"/>
    <w:rsid w:val="77965F38"/>
    <w:rsid w:val="779D4665"/>
    <w:rsid w:val="77A51A8A"/>
    <w:rsid w:val="77B52F08"/>
    <w:rsid w:val="77C462C0"/>
    <w:rsid w:val="77CE1743"/>
    <w:rsid w:val="77CE426C"/>
    <w:rsid w:val="77D02F78"/>
    <w:rsid w:val="77D04EB7"/>
    <w:rsid w:val="77D330EB"/>
    <w:rsid w:val="77DE545E"/>
    <w:rsid w:val="77E439E2"/>
    <w:rsid w:val="77E60D0E"/>
    <w:rsid w:val="77E76E9A"/>
    <w:rsid w:val="77EC4E24"/>
    <w:rsid w:val="77F05032"/>
    <w:rsid w:val="77FF4F73"/>
    <w:rsid w:val="780440EC"/>
    <w:rsid w:val="78103C63"/>
    <w:rsid w:val="781339BC"/>
    <w:rsid w:val="78134ECE"/>
    <w:rsid w:val="781E4702"/>
    <w:rsid w:val="782C14A5"/>
    <w:rsid w:val="782F0D09"/>
    <w:rsid w:val="7830216E"/>
    <w:rsid w:val="78423C49"/>
    <w:rsid w:val="786132B1"/>
    <w:rsid w:val="78667813"/>
    <w:rsid w:val="78680D37"/>
    <w:rsid w:val="786B74BF"/>
    <w:rsid w:val="786C3CB4"/>
    <w:rsid w:val="78705A57"/>
    <w:rsid w:val="787246FD"/>
    <w:rsid w:val="788336B0"/>
    <w:rsid w:val="788526FC"/>
    <w:rsid w:val="78893A99"/>
    <w:rsid w:val="78925B06"/>
    <w:rsid w:val="789531C4"/>
    <w:rsid w:val="78A17B36"/>
    <w:rsid w:val="78A23C24"/>
    <w:rsid w:val="78A51BAF"/>
    <w:rsid w:val="78A71725"/>
    <w:rsid w:val="78A732F3"/>
    <w:rsid w:val="78AD70A6"/>
    <w:rsid w:val="78B00F32"/>
    <w:rsid w:val="78B31370"/>
    <w:rsid w:val="78C9676E"/>
    <w:rsid w:val="78CC62F5"/>
    <w:rsid w:val="78CC73C1"/>
    <w:rsid w:val="78DE014D"/>
    <w:rsid w:val="78E1416F"/>
    <w:rsid w:val="78E510C7"/>
    <w:rsid w:val="78EA480B"/>
    <w:rsid w:val="78F35C9D"/>
    <w:rsid w:val="78F444EF"/>
    <w:rsid w:val="78F637F8"/>
    <w:rsid w:val="79064571"/>
    <w:rsid w:val="791F55A3"/>
    <w:rsid w:val="79235AC0"/>
    <w:rsid w:val="7930480C"/>
    <w:rsid w:val="794F7E8E"/>
    <w:rsid w:val="795E687C"/>
    <w:rsid w:val="79621AF3"/>
    <w:rsid w:val="796964E7"/>
    <w:rsid w:val="796D239C"/>
    <w:rsid w:val="79787894"/>
    <w:rsid w:val="798B0C99"/>
    <w:rsid w:val="79A53D1D"/>
    <w:rsid w:val="79AA253A"/>
    <w:rsid w:val="79AA7229"/>
    <w:rsid w:val="79AA7CDC"/>
    <w:rsid w:val="79B052F7"/>
    <w:rsid w:val="79BA2777"/>
    <w:rsid w:val="79BC25CD"/>
    <w:rsid w:val="79C45973"/>
    <w:rsid w:val="79C5663D"/>
    <w:rsid w:val="79C567D9"/>
    <w:rsid w:val="79C8159E"/>
    <w:rsid w:val="79D433B8"/>
    <w:rsid w:val="79E651B1"/>
    <w:rsid w:val="79E67049"/>
    <w:rsid w:val="79F04660"/>
    <w:rsid w:val="79FE067C"/>
    <w:rsid w:val="7A0917C6"/>
    <w:rsid w:val="7A095A05"/>
    <w:rsid w:val="7A0A51A9"/>
    <w:rsid w:val="7A1120BB"/>
    <w:rsid w:val="7A1D08E9"/>
    <w:rsid w:val="7A20518A"/>
    <w:rsid w:val="7A236AC0"/>
    <w:rsid w:val="7A2717D9"/>
    <w:rsid w:val="7A297A88"/>
    <w:rsid w:val="7A2A6883"/>
    <w:rsid w:val="7A2F2756"/>
    <w:rsid w:val="7A331012"/>
    <w:rsid w:val="7A3C6B9C"/>
    <w:rsid w:val="7A4128D0"/>
    <w:rsid w:val="7A4250B5"/>
    <w:rsid w:val="7A4F609B"/>
    <w:rsid w:val="7A500D95"/>
    <w:rsid w:val="7A5018E0"/>
    <w:rsid w:val="7A5430A5"/>
    <w:rsid w:val="7A5704F8"/>
    <w:rsid w:val="7A5B2479"/>
    <w:rsid w:val="7A5B29F4"/>
    <w:rsid w:val="7A5D6C48"/>
    <w:rsid w:val="7A5F755F"/>
    <w:rsid w:val="7A612EA9"/>
    <w:rsid w:val="7A633D52"/>
    <w:rsid w:val="7A6A6842"/>
    <w:rsid w:val="7A6D7C41"/>
    <w:rsid w:val="7A6E60E1"/>
    <w:rsid w:val="7A741589"/>
    <w:rsid w:val="7A9053D1"/>
    <w:rsid w:val="7AA657CF"/>
    <w:rsid w:val="7AA82CBB"/>
    <w:rsid w:val="7AA83733"/>
    <w:rsid w:val="7AAB44E3"/>
    <w:rsid w:val="7AAC0632"/>
    <w:rsid w:val="7AAE0F3A"/>
    <w:rsid w:val="7AB73DDE"/>
    <w:rsid w:val="7ABA528C"/>
    <w:rsid w:val="7AC04F33"/>
    <w:rsid w:val="7ACB579D"/>
    <w:rsid w:val="7ACD23D5"/>
    <w:rsid w:val="7AD0537D"/>
    <w:rsid w:val="7ADC74D9"/>
    <w:rsid w:val="7AF3552C"/>
    <w:rsid w:val="7AFC08CE"/>
    <w:rsid w:val="7B0503A0"/>
    <w:rsid w:val="7B147A61"/>
    <w:rsid w:val="7B176369"/>
    <w:rsid w:val="7B1C39A6"/>
    <w:rsid w:val="7B3E3FF5"/>
    <w:rsid w:val="7B4179AE"/>
    <w:rsid w:val="7B4E12EF"/>
    <w:rsid w:val="7B5147E9"/>
    <w:rsid w:val="7B533C26"/>
    <w:rsid w:val="7B59591C"/>
    <w:rsid w:val="7B66777B"/>
    <w:rsid w:val="7B686225"/>
    <w:rsid w:val="7B6A43E9"/>
    <w:rsid w:val="7B6A48E5"/>
    <w:rsid w:val="7B79532E"/>
    <w:rsid w:val="7B8A05FF"/>
    <w:rsid w:val="7B8C3BB0"/>
    <w:rsid w:val="7B9679A3"/>
    <w:rsid w:val="7B9F486C"/>
    <w:rsid w:val="7BA0134D"/>
    <w:rsid w:val="7BA02842"/>
    <w:rsid w:val="7BA66DBF"/>
    <w:rsid w:val="7BAB7433"/>
    <w:rsid w:val="7BAD2406"/>
    <w:rsid w:val="7BB378F7"/>
    <w:rsid w:val="7BB51D66"/>
    <w:rsid w:val="7BC47370"/>
    <w:rsid w:val="7BCA7890"/>
    <w:rsid w:val="7BD52200"/>
    <w:rsid w:val="7BDF7A6D"/>
    <w:rsid w:val="7BE21AB9"/>
    <w:rsid w:val="7BED2328"/>
    <w:rsid w:val="7BED5119"/>
    <w:rsid w:val="7BF256E1"/>
    <w:rsid w:val="7BFF2E14"/>
    <w:rsid w:val="7C121ADE"/>
    <w:rsid w:val="7C1C2733"/>
    <w:rsid w:val="7C1E1CF9"/>
    <w:rsid w:val="7C1E6730"/>
    <w:rsid w:val="7C3B3E01"/>
    <w:rsid w:val="7C5457B3"/>
    <w:rsid w:val="7C545D7D"/>
    <w:rsid w:val="7C69387F"/>
    <w:rsid w:val="7C713C1B"/>
    <w:rsid w:val="7C753E88"/>
    <w:rsid w:val="7C767384"/>
    <w:rsid w:val="7C7A73FB"/>
    <w:rsid w:val="7C854659"/>
    <w:rsid w:val="7C8A3ABC"/>
    <w:rsid w:val="7C9C45BC"/>
    <w:rsid w:val="7CA10241"/>
    <w:rsid w:val="7CA7500D"/>
    <w:rsid w:val="7CA953B6"/>
    <w:rsid w:val="7CAE226A"/>
    <w:rsid w:val="7CB208E6"/>
    <w:rsid w:val="7CB96F6D"/>
    <w:rsid w:val="7CC430D2"/>
    <w:rsid w:val="7CD011E3"/>
    <w:rsid w:val="7CD41DDD"/>
    <w:rsid w:val="7CD968C9"/>
    <w:rsid w:val="7CDB2CB5"/>
    <w:rsid w:val="7CE35407"/>
    <w:rsid w:val="7CED11F7"/>
    <w:rsid w:val="7CF0008F"/>
    <w:rsid w:val="7CFB429C"/>
    <w:rsid w:val="7D127F1D"/>
    <w:rsid w:val="7D1419D3"/>
    <w:rsid w:val="7D207948"/>
    <w:rsid w:val="7D21446A"/>
    <w:rsid w:val="7D2D0218"/>
    <w:rsid w:val="7D3E29C3"/>
    <w:rsid w:val="7D463DE6"/>
    <w:rsid w:val="7D49190F"/>
    <w:rsid w:val="7D5279B4"/>
    <w:rsid w:val="7D6737FE"/>
    <w:rsid w:val="7D6D39D7"/>
    <w:rsid w:val="7D706812"/>
    <w:rsid w:val="7D7B474F"/>
    <w:rsid w:val="7D7C234B"/>
    <w:rsid w:val="7D7F5F10"/>
    <w:rsid w:val="7D806EE2"/>
    <w:rsid w:val="7D810AC9"/>
    <w:rsid w:val="7D811F3F"/>
    <w:rsid w:val="7D8213AC"/>
    <w:rsid w:val="7D9F7443"/>
    <w:rsid w:val="7DA87CB7"/>
    <w:rsid w:val="7DB40CE9"/>
    <w:rsid w:val="7DB44F75"/>
    <w:rsid w:val="7DBC2980"/>
    <w:rsid w:val="7DBD6DC9"/>
    <w:rsid w:val="7DC058CC"/>
    <w:rsid w:val="7DCC0A5E"/>
    <w:rsid w:val="7DD24CA8"/>
    <w:rsid w:val="7DD3172C"/>
    <w:rsid w:val="7DD64445"/>
    <w:rsid w:val="7DD71204"/>
    <w:rsid w:val="7DE104BC"/>
    <w:rsid w:val="7DEE4D00"/>
    <w:rsid w:val="7DEF1257"/>
    <w:rsid w:val="7DF21782"/>
    <w:rsid w:val="7DF44876"/>
    <w:rsid w:val="7DF87012"/>
    <w:rsid w:val="7E093E8A"/>
    <w:rsid w:val="7E0B3E6C"/>
    <w:rsid w:val="7E0F2E3C"/>
    <w:rsid w:val="7E182232"/>
    <w:rsid w:val="7E1F0A98"/>
    <w:rsid w:val="7E1F5560"/>
    <w:rsid w:val="7E203C22"/>
    <w:rsid w:val="7E2A1CAA"/>
    <w:rsid w:val="7E384C6A"/>
    <w:rsid w:val="7E3F1660"/>
    <w:rsid w:val="7E417898"/>
    <w:rsid w:val="7E4318EE"/>
    <w:rsid w:val="7E436D9B"/>
    <w:rsid w:val="7E486BF1"/>
    <w:rsid w:val="7E4C347D"/>
    <w:rsid w:val="7E593445"/>
    <w:rsid w:val="7E5C66C5"/>
    <w:rsid w:val="7E5E1BCC"/>
    <w:rsid w:val="7E656B9C"/>
    <w:rsid w:val="7E6B4EE0"/>
    <w:rsid w:val="7E6F7087"/>
    <w:rsid w:val="7E7E5567"/>
    <w:rsid w:val="7E8B0DED"/>
    <w:rsid w:val="7E8C5D3C"/>
    <w:rsid w:val="7E984F39"/>
    <w:rsid w:val="7E98676B"/>
    <w:rsid w:val="7E9F0689"/>
    <w:rsid w:val="7E9F6FC9"/>
    <w:rsid w:val="7EAD6A55"/>
    <w:rsid w:val="7EAF3F46"/>
    <w:rsid w:val="7EBA234D"/>
    <w:rsid w:val="7EBF3C13"/>
    <w:rsid w:val="7EC75A5E"/>
    <w:rsid w:val="7EC766E0"/>
    <w:rsid w:val="7ED06F14"/>
    <w:rsid w:val="7ED1694D"/>
    <w:rsid w:val="7ED26B2C"/>
    <w:rsid w:val="7ED94326"/>
    <w:rsid w:val="7EDE22D4"/>
    <w:rsid w:val="7EE50D0C"/>
    <w:rsid w:val="7EED109D"/>
    <w:rsid w:val="7EF00C0D"/>
    <w:rsid w:val="7EF3450E"/>
    <w:rsid w:val="7EFC1A7B"/>
    <w:rsid w:val="7EFD06F4"/>
    <w:rsid w:val="7EFD1714"/>
    <w:rsid w:val="7F056BDF"/>
    <w:rsid w:val="7F0659E8"/>
    <w:rsid w:val="7F1955AB"/>
    <w:rsid w:val="7F1C1779"/>
    <w:rsid w:val="7F2708BF"/>
    <w:rsid w:val="7F2930AB"/>
    <w:rsid w:val="7F314EF0"/>
    <w:rsid w:val="7F361D3F"/>
    <w:rsid w:val="7F376B16"/>
    <w:rsid w:val="7F3A6EA1"/>
    <w:rsid w:val="7F416C53"/>
    <w:rsid w:val="7F4569AA"/>
    <w:rsid w:val="7F4743E6"/>
    <w:rsid w:val="7F4B6B43"/>
    <w:rsid w:val="7F5505C0"/>
    <w:rsid w:val="7F5C2735"/>
    <w:rsid w:val="7F5F1AF9"/>
    <w:rsid w:val="7F647944"/>
    <w:rsid w:val="7F6B7839"/>
    <w:rsid w:val="7F7472CA"/>
    <w:rsid w:val="7F7A3335"/>
    <w:rsid w:val="7F7F6E7D"/>
    <w:rsid w:val="7F8612A3"/>
    <w:rsid w:val="7F885D4D"/>
    <w:rsid w:val="7F897327"/>
    <w:rsid w:val="7F963D03"/>
    <w:rsid w:val="7F965505"/>
    <w:rsid w:val="7F98737D"/>
    <w:rsid w:val="7F9C2DCF"/>
    <w:rsid w:val="7FA83F71"/>
    <w:rsid w:val="7FA8656F"/>
    <w:rsid w:val="7FAD1F4F"/>
    <w:rsid w:val="7FB5560E"/>
    <w:rsid w:val="7FC33246"/>
    <w:rsid w:val="7FCE3FE1"/>
    <w:rsid w:val="7FD00192"/>
    <w:rsid w:val="7FD069B6"/>
    <w:rsid w:val="7FD57EF8"/>
    <w:rsid w:val="7FE0408E"/>
    <w:rsid w:val="7FE5068E"/>
    <w:rsid w:val="7FE632D7"/>
    <w:rsid w:val="7FF01D6F"/>
    <w:rsid w:val="7FF73986"/>
    <w:rsid w:val="7FF81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tabs>
        <w:tab w:val="left" w:pos="450"/>
      </w:tabs>
      <w:spacing w:before="240"/>
      <w:outlineLvl w:val="0"/>
    </w:pPr>
    <w:rPr>
      <w:rFonts w:ascii="Arial" w:hAnsi="Arial"/>
      <w:sz w:val="36"/>
    </w:rPr>
  </w:style>
  <w:style w:type="paragraph" w:styleId="3">
    <w:name w:val="heading 2"/>
    <w:basedOn w:val="2"/>
    <w:next w:val="1"/>
    <w:link w:val="65"/>
    <w:qFormat/>
    <w:uiPriority w:val="0"/>
    <w:pPr>
      <w:numPr>
        <w:ilvl w:val="1"/>
        <w:numId w:val="1"/>
      </w:numPr>
      <w:pBdr>
        <w:top w:val="none" w:color="auto" w:sz="0" w:space="0"/>
      </w:pBdr>
      <w:spacing w:after="60"/>
      <w:ind w:left="575" w:hanging="575"/>
      <w:outlineLvl w:val="1"/>
    </w:pPr>
    <w:rPr>
      <w:bCs/>
      <w:iCs/>
      <w:sz w:val="28"/>
      <w:szCs w:val="28"/>
    </w:rPr>
  </w:style>
  <w:style w:type="paragraph" w:styleId="4">
    <w:name w:val="heading 3"/>
    <w:basedOn w:val="1"/>
    <w:next w:val="1"/>
    <w:qFormat/>
    <w:uiPriority w:val="0"/>
    <w:pPr>
      <w:numPr>
        <w:ilvl w:val="2"/>
        <w:numId w:val="1"/>
      </w:numPr>
      <w:spacing w:after="240"/>
      <w:ind w:left="720" w:hanging="720"/>
      <w:outlineLvl w:val="2"/>
    </w:pPr>
    <w:rPr>
      <w:rFonts w:cs="Arial"/>
      <w:sz w:val="24"/>
      <w:szCs w:val="26"/>
    </w:rPr>
  </w:style>
  <w:style w:type="paragraph" w:styleId="5">
    <w:name w:val="heading 4"/>
    <w:basedOn w:val="4"/>
    <w:next w:val="1"/>
    <w:qFormat/>
    <w:uiPriority w:val="0"/>
    <w:pPr>
      <w:numPr>
        <w:ilvl w:val="3"/>
        <w:numId w:val="1"/>
      </w:numPr>
      <w:spacing w:before="120" w:after="180"/>
      <w:ind w:left="864" w:hanging="864"/>
      <w:outlineLvl w:val="3"/>
    </w:pPr>
    <w:rPr>
      <w:rFonts w:cs="Times New Roman"/>
      <w:szCs w:val="20"/>
    </w:rPr>
  </w:style>
  <w:style w:type="paragraph" w:styleId="6">
    <w:name w:val="heading 5"/>
    <w:basedOn w:val="1"/>
    <w:next w:val="1"/>
    <w:qFormat/>
    <w:uiPriority w:val="0"/>
    <w:pPr>
      <w:keepNext/>
      <w:keepLines/>
      <w:numPr>
        <w:ilvl w:val="4"/>
        <w:numId w:val="1"/>
      </w:numPr>
      <w:spacing w:before="280" w:after="290" w:line="376" w:lineRule="auto"/>
      <w:ind w:left="1008" w:hanging="1008"/>
      <w:outlineLvl w:val="4"/>
    </w:pPr>
    <w:rPr>
      <w:b/>
      <w:bCs/>
      <w:sz w:val="28"/>
      <w:szCs w:val="28"/>
    </w:rPr>
  </w:style>
  <w:style w:type="paragraph" w:styleId="7">
    <w:name w:val="heading 6"/>
    <w:basedOn w:val="1"/>
    <w:next w:val="1"/>
    <w:qFormat/>
    <w:uiPriority w:val="0"/>
    <w:pPr>
      <w:keepNext/>
      <w:keepLines/>
      <w:numPr>
        <w:ilvl w:val="5"/>
        <w:numId w:val="1"/>
      </w:numPr>
      <w:tabs>
        <w:tab w:val="left" w:pos="1152"/>
      </w:tabs>
      <w:spacing w:before="120"/>
      <w:ind w:left="1151" w:hanging="1151"/>
      <w:outlineLvl w:val="5"/>
    </w:pPr>
    <w:rPr>
      <w:rFonts w:ascii="Arial" w:hAnsi="Arial" w:eastAsia="Batang"/>
    </w:rPr>
  </w:style>
  <w:style w:type="paragraph" w:styleId="8">
    <w:name w:val="heading 7"/>
    <w:basedOn w:val="1"/>
    <w:next w:val="1"/>
    <w:qFormat/>
    <w:uiPriority w:val="0"/>
    <w:pPr>
      <w:keepNext/>
      <w:keepLines/>
      <w:numPr>
        <w:ilvl w:val="6"/>
        <w:numId w:val="1"/>
      </w:numPr>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ilvl w:val="7"/>
        <w:numId w:val="1"/>
      </w:numPr>
      <w:tabs>
        <w:tab w:val="left" w:pos="1440"/>
      </w:tabs>
      <w:ind w:left="1440" w:hanging="1440"/>
      <w:outlineLvl w:val="7"/>
    </w:pPr>
    <w:rPr>
      <w:rFonts w:eastAsia="Batang"/>
    </w:rPr>
  </w:style>
  <w:style w:type="paragraph" w:styleId="10">
    <w:name w:val="heading 9"/>
    <w:basedOn w:val="9"/>
    <w:next w:val="1"/>
    <w:qFormat/>
    <w:uiPriority w:val="0"/>
    <w:pPr>
      <w:numPr>
        <w:ilvl w:val="8"/>
      </w:numPr>
      <w:tabs>
        <w:tab w:val="left" w:pos="1584"/>
        <w:tab w:val="clear" w:pos="1440"/>
      </w:tabs>
      <w:ind w:left="1583" w:hanging="1583"/>
      <w:outlineLvl w:val="8"/>
    </w:pPr>
  </w:style>
  <w:style w:type="character" w:default="1" w:styleId="25">
    <w:name w:val="Default Paragraph Font"/>
    <w:unhideWhenUsed/>
    <w:qFormat/>
    <w:uiPriority w:val="1"/>
  </w:style>
  <w:style w:type="table" w:default="1" w:styleId="32">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6"/>
    <w:semiHidden/>
    <w:qFormat/>
    <w:uiPriority w:val="0"/>
  </w:style>
  <w:style w:type="paragraph" w:styleId="14">
    <w:name w:val="caption"/>
    <w:basedOn w:val="1"/>
    <w:next w:val="1"/>
    <w:link w:val="54"/>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qFormat/>
    <w:uiPriority w:val="0"/>
    <w:pPr>
      <w:overflowPunct w:val="0"/>
      <w:autoSpaceDE w:val="0"/>
      <w:autoSpaceDN w:val="0"/>
      <w:adjustRightInd w:val="0"/>
      <w:spacing w:after="120"/>
      <w:textAlignment w:val="baseline"/>
    </w:pPr>
    <w:rPr>
      <w:rFonts w:eastAsia="MS Mincho"/>
    </w:rPr>
  </w:style>
  <w:style w:type="paragraph" w:styleId="17">
    <w:name w:val="List 2"/>
    <w:basedOn w:val="18"/>
    <w:qFormat/>
    <w:uiPriority w:val="0"/>
    <w:pPr>
      <w:tabs>
        <w:tab w:val="left" w:pos="425"/>
      </w:tabs>
      <w:ind w:left="100" w:leftChars="200" w:hanging="200" w:hangingChars="200"/>
    </w:pPr>
  </w:style>
  <w:style w:type="paragraph" w:styleId="18">
    <w:name w:val="List"/>
    <w:basedOn w:val="1"/>
    <w:qFormat/>
    <w:uiPriority w:val="0"/>
    <w:pPr>
      <w:tabs>
        <w:tab w:val="left" w:pos="425"/>
      </w:tabs>
      <w:ind w:left="425" w:hanging="425"/>
    </w:pPr>
  </w:style>
  <w:style w:type="paragraph" w:styleId="19">
    <w:name w:val="Balloon Text"/>
    <w:basedOn w:val="1"/>
    <w:semiHidden/>
    <w:qFormat/>
    <w:uiPriority w:val="0"/>
    <w:rPr>
      <w:rFonts w:ascii="Tahoma" w:hAnsi="Tahoma" w:cs="Tahoma"/>
      <w:sz w:val="16"/>
      <w:szCs w:val="16"/>
    </w:rPr>
  </w:style>
  <w:style w:type="paragraph" w:styleId="20">
    <w:name w:val="footer"/>
    <w:basedOn w:val="21"/>
    <w:qFormat/>
    <w:uiPriority w:val="0"/>
    <w:pPr>
      <w:jc w:val="center"/>
    </w:pPr>
    <w:rPr>
      <w:i/>
    </w:rPr>
  </w:style>
  <w:style w:type="paragraph" w:styleId="21">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paragraph" w:styleId="24">
    <w:name w:val="Normal (Web)"/>
    <w:basedOn w:val="1"/>
    <w:qFormat/>
    <w:uiPriority w:val="0"/>
    <w:pPr>
      <w:spacing w:beforeAutospacing="1" w:after="0" w:afterAutospacing="1"/>
    </w:pPr>
    <w:rPr>
      <w:sz w:val="24"/>
      <w:lang w:val="en-US" w:eastAsia="zh-CN"/>
    </w:rPr>
  </w:style>
  <w:style w:type="character" w:styleId="26">
    <w:name w:val="Strong"/>
    <w:basedOn w:val="25"/>
    <w:qFormat/>
    <w:uiPriority w:val="0"/>
    <w:rPr>
      <w:b/>
    </w:rPr>
  </w:style>
  <w:style w:type="character" w:styleId="27">
    <w:name w:val="page number"/>
    <w:basedOn w:val="25"/>
    <w:qFormat/>
    <w:uiPriority w:val="0"/>
  </w:style>
  <w:style w:type="character" w:styleId="28">
    <w:name w:val="FollowedHyperlink"/>
    <w:qFormat/>
    <w:uiPriority w:val="0"/>
    <w:rPr>
      <w:color w:val="800080"/>
      <w:u w:val="single"/>
    </w:rPr>
  </w:style>
  <w:style w:type="character" w:styleId="29">
    <w:name w:val="Emphasis"/>
    <w:qFormat/>
    <w:uiPriority w:val="0"/>
    <w:rPr>
      <w:i/>
      <w:iCs/>
    </w:rPr>
  </w:style>
  <w:style w:type="character" w:styleId="30">
    <w:name w:val="Hyperlink"/>
    <w:qFormat/>
    <w:uiPriority w:val="99"/>
    <w:rPr>
      <w:color w:val="0000FF"/>
      <w:u w:val="single"/>
    </w:rPr>
  </w:style>
  <w:style w:type="character" w:styleId="31">
    <w:name w:val="annotation reference"/>
    <w:semiHidden/>
    <w:qFormat/>
    <w:uiPriority w:val="0"/>
    <w:rPr>
      <w:sz w:val="21"/>
      <w:szCs w:val="21"/>
    </w:rPr>
  </w:style>
  <w:style w:type="table" w:styleId="33">
    <w:name w:val="Table Grid"/>
    <w:basedOn w:val="3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4">
    <w:name w:val="Table Theme"/>
    <w:basedOn w:val="3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3"/>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Header Char"/>
    <w:link w:val="21"/>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48"/>
    <w:link w:val="46"/>
    <w:qFormat/>
    <w:uiPriority w:val="0"/>
    <w:pPr>
      <w:keepNext/>
      <w:keepLines/>
      <w:spacing w:after="0"/>
      <w:jc w:val="center"/>
    </w:pPr>
    <w:rPr>
      <w:rFonts w:ascii="Arial" w:hAnsi="Arial" w:eastAsia="宋体"/>
      <w:b/>
      <w:sz w:val="18"/>
    </w:rPr>
  </w:style>
  <w:style w:type="paragraph" w:customStyle="1" w:styleId="48">
    <w:name w:val="TAC"/>
    <w:basedOn w:val="49"/>
    <w:link w:val="64"/>
    <w:qFormat/>
    <w:uiPriority w:val="0"/>
    <w:pPr>
      <w:jc w:val="center"/>
    </w:pPr>
  </w:style>
  <w:style w:type="paragraph" w:customStyle="1" w:styleId="49">
    <w:name w:val="TAL"/>
    <w:basedOn w:val="1"/>
    <w:link w:val="77"/>
    <w:qFormat/>
    <w:uiPriority w:val="0"/>
    <w:pPr>
      <w:keepNext/>
      <w:keepLines/>
      <w:spacing w:after="0"/>
    </w:pPr>
    <w:rPr>
      <w:rFonts w:ascii="Arial" w:hAnsi="Arial" w:eastAsia="宋体"/>
      <w:sz w:val="18"/>
    </w:rPr>
  </w:style>
  <w:style w:type="character" w:customStyle="1" w:styleId="50">
    <w:name w:val="B1 Char1"/>
    <w:link w:val="51"/>
    <w:qFormat/>
    <w:uiPriority w:val="0"/>
    <w:rPr>
      <w:rFonts w:eastAsia="宋体"/>
      <w:lang w:val="en-GB" w:eastAsia="en-US"/>
    </w:rPr>
  </w:style>
  <w:style w:type="paragraph" w:customStyle="1" w:styleId="51">
    <w:name w:val="B1"/>
    <w:basedOn w:val="18"/>
    <w:link w:val="50"/>
    <w:qFormat/>
    <w:uiPriority w:val="0"/>
    <w:pPr>
      <w:ind w:left="568" w:hanging="284"/>
    </w:pPr>
    <w:rPr>
      <w:rFonts w:eastAsia="宋体"/>
    </w:rPr>
  </w:style>
  <w:style w:type="character" w:customStyle="1" w:styleId="52">
    <w:name w:val="Comments Char"/>
    <w:qFormat/>
    <w:locked/>
    <w:uiPriority w:val="0"/>
    <w:rPr>
      <w:rFonts w:ascii="Arial" w:hAnsi="Arial" w:eastAsia="MS Mincho" w:cs="Times New Roman"/>
      <w:i/>
      <w:sz w:val="24"/>
      <w:szCs w:val="24"/>
      <w:lang w:val="en-GB" w:eastAsia="en-GB"/>
    </w:rPr>
  </w:style>
  <w:style w:type="character" w:customStyle="1" w:styleId="53">
    <w:name w:val="Comments"/>
    <w:qFormat/>
    <w:uiPriority w:val="0"/>
    <w:rPr>
      <w:i/>
      <w:iCs/>
      <w:sz w:val="16"/>
    </w:rPr>
  </w:style>
  <w:style w:type="character" w:customStyle="1" w:styleId="54">
    <w:name w:val="Caption Char"/>
    <w:link w:val="14"/>
    <w:qFormat/>
    <w:uiPriority w:val="0"/>
    <w:rPr>
      <w:rFonts w:eastAsia="Times New Roman"/>
      <w:b/>
      <w:bCs/>
      <w:lang w:val="en-GB" w:eastAsia="en-US"/>
    </w:rPr>
  </w:style>
  <w:style w:type="character" w:customStyle="1" w:styleId="55">
    <w:name w:val="highlight"/>
    <w:basedOn w:val="25"/>
    <w:qFormat/>
    <w:uiPriority w:val="0"/>
  </w:style>
  <w:style w:type="character" w:customStyle="1" w:styleId="56">
    <w:name w:val="Comment Text Char"/>
    <w:link w:val="13"/>
    <w:semiHidden/>
    <w:qFormat/>
    <w:uiPriority w:val="0"/>
    <w:rPr>
      <w:rFonts w:eastAsia="Times New Roman"/>
      <w:lang w:val="en-GB" w:eastAsia="en-US"/>
    </w:rPr>
  </w:style>
  <w:style w:type="character" w:customStyle="1" w:styleId="57">
    <w:name w:val="B2 Char"/>
    <w:link w:val="58"/>
    <w:qFormat/>
    <w:uiPriority w:val="0"/>
    <w:rPr>
      <w:rFonts w:eastAsia="宋体"/>
      <w:lang w:val="en-GB" w:eastAsia="en-US" w:bidi="ar-SA"/>
    </w:rPr>
  </w:style>
  <w:style w:type="paragraph" w:customStyle="1" w:styleId="58">
    <w:name w:val="B2"/>
    <w:basedOn w:val="17"/>
    <w:link w:val="57"/>
    <w:qFormat/>
    <w:uiPriority w:val="0"/>
    <w:pPr>
      <w:ind w:left="851" w:leftChars="0" w:hanging="284" w:firstLineChars="0"/>
    </w:pPr>
    <w:rPr>
      <w:rFonts w:eastAsia="宋体"/>
    </w:rPr>
  </w:style>
  <w:style w:type="character" w:customStyle="1" w:styleId="59">
    <w:name w:val="List Paragraph Char"/>
    <w:link w:val="60"/>
    <w:qFormat/>
    <w:uiPriority w:val="34"/>
    <w:rPr>
      <w:rFonts w:eastAsia="Times New Roman"/>
      <w:lang w:val="en-GB" w:eastAsia="en-US"/>
    </w:rPr>
  </w:style>
  <w:style w:type="paragraph" w:customStyle="1" w:styleId="60">
    <w:name w:val="List Paragraph1"/>
    <w:basedOn w:val="1"/>
    <w:link w:val="59"/>
    <w:qFormat/>
    <w:uiPriority w:val="34"/>
    <w:pPr>
      <w:ind w:left="720"/>
      <w:contextualSpacing/>
    </w:pPr>
  </w:style>
  <w:style w:type="character" w:customStyle="1" w:styleId="61">
    <w:name w:val="short_text"/>
    <w:basedOn w:val="25"/>
    <w:qFormat/>
    <w:uiPriority w:val="0"/>
  </w:style>
  <w:style w:type="character" w:customStyle="1" w:styleId="62">
    <w:name w:val="B3 Char"/>
    <w:qFormat/>
    <w:uiPriority w:val="0"/>
    <w:rPr>
      <w:lang w:val="en-GB" w:eastAsia="ja-JP" w:bidi="ar-SA"/>
    </w:rPr>
  </w:style>
  <w:style w:type="character" w:customStyle="1" w:styleId="63">
    <w:name w:val="def"/>
    <w:basedOn w:val="25"/>
    <w:qFormat/>
    <w:uiPriority w:val="0"/>
  </w:style>
  <w:style w:type="character" w:customStyle="1" w:styleId="64">
    <w:name w:val="TAC Char"/>
    <w:link w:val="48"/>
    <w:qFormat/>
    <w:uiPriority w:val="0"/>
    <w:rPr>
      <w:rFonts w:ascii="Arial" w:hAnsi="Arial" w:eastAsia="宋体"/>
      <w:sz w:val="18"/>
      <w:lang w:val="en-GB" w:eastAsia="en-US"/>
    </w:rPr>
  </w:style>
  <w:style w:type="character" w:customStyle="1" w:styleId="65">
    <w:name w:val="Heading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49"/>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5"/>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49"/>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1"/>
    <w:link w:val="81"/>
    <w:qFormat/>
    <w:uiPriority w:val="0"/>
    <w:pPr>
      <w:keepLines/>
      <w:ind w:left="1135" w:hanging="851"/>
    </w:pPr>
    <w:rPr>
      <w:rFonts w:eastAsia="MS Mincho"/>
      <w:color w:val="FF0000"/>
    </w:rPr>
  </w:style>
  <w:style w:type="character" w:customStyle="1" w:styleId="83">
    <w:name w:val="apple-converted-space"/>
    <w:basedOn w:val="25"/>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6"/>
    <w:qFormat/>
    <w:uiPriority w:val="0"/>
    <w:pPr>
      <w:numPr>
        <w:ilvl w:val="0"/>
        <w:numId w:val="7"/>
      </w:numPr>
      <w:tabs>
        <w:tab w:val="left" w:pos="1701"/>
      </w:tabs>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2"/>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22">
    <w:name w:val="_Style 1"/>
    <w:basedOn w:val="1"/>
    <w:qFormat/>
    <w:uiPriority w:val="34"/>
    <w:pPr>
      <w:ind w:left="840" w:leftChars="400"/>
    </w:pPr>
  </w:style>
  <w:style w:type="paragraph" w:customStyle="1" w:styleId="123">
    <w:name w:val="List Paragraph2"/>
    <w:basedOn w:val="1"/>
    <w:qFormat/>
    <w:uiPriority w:val="34"/>
    <w:pPr>
      <w:ind w:left="840" w:leftChars="400"/>
    </w:pPr>
  </w:style>
  <w:style w:type="paragraph" w:customStyle="1" w:styleId="124">
    <w:name w:val="List Paragraph3"/>
    <w:basedOn w:val="1"/>
    <w:unhideWhenUsed/>
    <w:qFormat/>
    <w:uiPriority w:val="99"/>
    <w:pPr>
      <w:ind w:left="720"/>
      <w:contextualSpacing/>
    </w:pPr>
  </w:style>
  <w:style w:type="table" w:customStyle="1" w:styleId="125">
    <w:name w:val="Light Grid1"/>
    <w:basedOn w:val="32"/>
    <w:qFormat/>
    <w:uiPriority w:val="62"/>
    <w:rPr>
      <w:rFonts w:eastAsia="Times New Roman"/>
      <w:lang w:eastAsia="zh-TW"/>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paragraph" w:customStyle="1" w:styleId="126">
    <w:name w:val="References"/>
    <w:basedOn w:val="1"/>
    <w:qFormat/>
    <w:uiPriority w:val="0"/>
    <w:pPr>
      <w:numPr>
        <w:ilvl w:val="0"/>
        <w:numId w:val="9"/>
      </w:numPr>
      <w:adjustRightInd/>
      <w:spacing w:after="60"/>
    </w:pPr>
    <w:rPr>
      <w:sz w:val="20"/>
      <w:szCs w:val="16"/>
    </w:rPr>
  </w:style>
  <w:style w:type="character" w:customStyle="1" w:styleId="127">
    <w:name w:val="ZGSM"/>
    <w:qFormat/>
    <w:uiPriority w:val="0"/>
  </w:style>
  <w:style w:type="paragraph" w:customStyle="1" w:styleId="12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sz w:val="21"/>
      <w:szCs w:val="22"/>
      <w:lang w:val="en-GB" w:eastAsia="en-US" w:bidi="ar-SA"/>
    </w:rPr>
  </w:style>
  <w:style w:type="paragraph" w:customStyle="1" w:styleId="129">
    <w:name w:val="ZV"/>
    <w:basedOn w:val="128"/>
    <w:qFormat/>
    <w:uiPriority w:val="0"/>
    <w:pPr>
      <w:framePr w:y="16161"/>
    </w:pPr>
  </w:style>
  <w:style w:type="paragraph" w:customStyle="1" w:styleId="130">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paragraph" w:customStyle="1" w:styleId="131">
    <w:name w:val="列出段落2"/>
    <w:basedOn w:val="1"/>
    <w:qFormat/>
    <w:uiPriority w:val="34"/>
    <w:pPr>
      <w:overflowPunct w:val="0"/>
      <w:autoSpaceDE w:val="0"/>
      <w:autoSpaceDN w:val="0"/>
      <w:adjustRightInd w:val="0"/>
      <w:ind w:left="720"/>
      <w:contextualSpacing/>
      <w:textAlignment w:val="baseline"/>
    </w:pPr>
    <w:rPr>
      <w:rFonts w:eastAsia="宋体"/>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2019\&#20223;&#30495;&#32467;&#26524;\&#24037;&#20316;&#35760;&#24405;.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CM for different cyclic shifts order</a:t>
            </a:r>
            <a:endParaRPr lang="en-US" altLang="zh-CN"/>
          </a:p>
        </c:rich>
      </c:tx>
      <c:layout/>
      <c:overlay val="0"/>
      <c:spPr>
        <a:noFill/>
        <a:ln>
          <a:noFill/>
        </a:ln>
        <a:effectLst/>
      </c:spPr>
    </c:title>
    <c:autoTitleDeleted val="0"/>
    <c:plotArea>
      <c:layout/>
      <c:scatterChart>
        <c:scatterStyle val="smoothMarker"/>
        <c:varyColors val="0"/>
        <c:ser>
          <c:idx val="0"/>
          <c:order val="0"/>
          <c:tx>
            <c:strRef>
              <c:f>[工作记录.xls]对比!$A$79</c:f>
              <c:strCache>
                <c:ptCount val="1"/>
                <c:pt idx="0">
                  <c:v>optimum</c:v>
                </c:pt>
              </c:strCache>
            </c:strRef>
          </c:tx>
          <c:spPr>
            <a:ln w="19050" cap="rnd">
              <a:solidFill>
                <a:srgbClr val="00B050"/>
              </a:solidFill>
              <a:round/>
            </a:ln>
            <a:effectLst/>
          </c:spPr>
          <c:marker>
            <c:symbol val="circle"/>
            <c:size val="5"/>
            <c:spPr>
              <a:gradFill>
                <a:gsLst>
                  <a:gs pos="0">
                    <a:srgbClr val="14CD68"/>
                  </a:gs>
                  <a:gs pos="100000">
                    <a:srgbClr val="035C7D"/>
                  </a:gs>
                </a:gsLst>
                <a:lin ang="5400000" scaled="0"/>
              </a:gradFill>
              <a:ln w="9525">
                <a:solidFill>
                  <a:srgbClr val="000000"/>
                </a:solidFill>
              </a:ln>
              <a:effectLst/>
            </c:spPr>
          </c:marker>
          <c:dLbls>
            <c:delete val="1"/>
          </c:dLbls>
          <c:yVal>
            <c:numRef>
              <c:f>[工作记录.xls]对比!$B$79:$AE$79</c:f>
              <c:numCache>
                <c:formatCode>General</c:formatCode>
                <c:ptCount val="30"/>
                <c:pt idx="0">
                  <c:v>1.44645</c:v>
                </c:pt>
                <c:pt idx="1">
                  <c:v>1.34958</c:v>
                </c:pt>
                <c:pt idx="2">
                  <c:v>1.53003</c:v>
                </c:pt>
                <c:pt idx="3">
                  <c:v>1.49818</c:v>
                </c:pt>
                <c:pt idx="4">
                  <c:v>1.48523</c:v>
                </c:pt>
                <c:pt idx="5">
                  <c:v>1.42752</c:v>
                </c:pt>
                <c:pt idx="6">
                  <c:v>1.58157</c:v>
                </c:pt>
                <c:pt idx="7">
                  <c:v>1.42253</c:v>
                </c:pt>
                <c:pt idx="8">
                  <c:v>1.5083</c:v>
                </c:pt>
                <c:pt idx="9">
                  <c:v>1.5083</c:v>
                </c:pt>
                <c:pt idx="10">
                  <c:v>1.66415</c:v>
                </c:pt>
                <c:pt idx="11">
                  <c:v>1.66415</c:v>
                </c:pt>
                <c:pt idx="12">
                  <c:v>1.51273</c:v>
                </c:pt>
                <c:pt idx="13">
                  <c:v>1.68496</c:v>
                </c:pt>
                <c:pt idx="14">
                  <c:v>1.42253</c:v>
                </c:pt>
                <c:pt idx="15">
                  <c:v>1.65385</c:v>
                </c:pt>
                <c:pt idx="16">
                  <c:v>1.27071</c:v>
                </c:pt>
                <c:pt idx="17">
                  <c:v>1.49818</c:v>
                </c:pt>
                <c:pt idx="18">
                  <c:v>1.68496</c:v>
                </c:pt>
                <c:pt idx="19">
                  <c:v>1.55981</c:v>
                </c:pt>
                <c:pt idx="20">
                  <c:v>1.43136</c:v>
                </c:pt>
                <c:pt idx="21">
                  <c:v>1.44645</c:v>
                </c:pt>
                <c:pt idx="22">
                  <c:v>1.5583</c:v>
                </c:pt>
                <c:pt idx="23">
                  <c:v>1.58157</c:v>
                </c:pt>
                <c:pt idx="24">
                  <c:v>1.44789</c:v>
                </c:pt>
                <c:pt idx="25">
                  <c:v>1.69364</c:v>
                </c:pt>
                <c:pt idx="26">
                  <c:v>1.54956</c:v>
                </c:pt>
                <c:pt idx="27">
                  <c:v>1.36398</c:v>
                </c:pt>
                <c:pt idx="28">
                  <c:v>1.30745</c:v>
                </c:pt>
                <c:pt idx="29">
                  <c:v>1.71016</c:v>
                </c:pt>
              </c:numCache>
            </c:numRef>
          </c:yVal>
          <c:smooth val="1"/>
        </c:ser>
        <c:ser>
          <c:idx val="1"/>
          <c:order val="1"/>
          <c:tx>
            <c:strRef>
              <c:f>[工作记录.xls]对比!$A$80</c:f>
              <c:strCache>
                <c:ptCount val="1"/>
                <c:pt idx="0">
                  <c:v>descending</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elete val="1"/>
          </c:dLbls>
          <c:yVal>
            <c:numRef>
              <c:f>[工作记录.xls]对比!$B$80:$AE$80</c:f>
              <c:numCache>
                <c:formatCode>General</c:formatCode>
                <c:ptCount val="30"/>
                <c:pt idx="0">
                  <c:v>1.56354684077254</c:v>
                </c:pt>
                <c:pt idx="1">
                  <c:v>1.34957628306353</c:v>
                </c:pt>
                <c:pt idx="2">
                  <c:v>1.60745043788297</c:v>
                </c:pt>
                <c:pt idx="3">
                  <c:v>1.69187733067046</c:v>
                </c:pt>
                <c:pt idx="4">
                  <c:v>1.77127698424657</c:v>
                </c:pt>
                <c:pt idx="5">
                  <c:v>1.42751503062168</c:v>
                </c:pt>
                <c:pt idx="6">
                  <c:v>1.61788429907825</c:v>
                </c:pt>
                <c:pt idx="7">
                  <c:v>1.50657331895993</c:v>
                </c:pt>
                <c:pt idx="8">
                  <c:v>1.58407726391708</c:v>
                </c:pt>
                <c:pt idx="9">
                  <c:v>1.53195005370767</c:v>
                </c:pt>
                <c:pt idx="10">
                  <c:v>1.82484811660438</c:v>
                </c:pt>
                <c:pt idx="11">
                  <c:v>1.8511215381422</c:v>
                </c:pt>
                <c:pt idx="12">
                  <c:v>1.58993741969162</c:v>
                </c:pt>
                <c:pt idx="13">
                  <c:v>1.76738451932029</c:v>
                </c:pt>
                <c:pt idx="14">
                  <c:v>1.42252903629357</c:v>
                </c:pt>
                <c:pt idx="15">
                  <c:v>1.76702798351476</c:v>
                </c:pt>
                <c:pt idx="16">
                  <c:v>1.71808329113697</c:v>
                </c:pt>
                <c:pt idx="17">
                  <c:v>1.60532307704536</c:v>
                </c:pt>
                <c:pt idx="18">
                  <c:v>1.79906669649205</c:v>
                </c:pt>
                <c:pt idx="19">
                  <c:v>1.64070119523734</c:v>
                </c:pt>
                <c:pt idx="20">
                  <c:v>1.4313589984593</c:v>
                </c:pt>
                <c:pt idx="21">
                  <c:v>1.44645149910539</c:v>
                </c:pt>
                <c:pt idx="22">
                  <c:v>1.62962648361986</c:v>
                </c:pt>
                <c:pt idx="23">
                  <c:v>1.58157474179958</c:v>
                </c:pt>
                <c:pt idx="24">
                  <c:v>1.44789416187335</c:v>
                </c:pt>
                <c:pt idx="25">
                  <c:v>1.78732130051361</c:v>
                </c:pt>
                <c:pt idx="26">
                  <c:v>1.62133026307419</c:v>
                </c:pt>
                <c:pt idx="27">
                  <c:v>1.47676374520949</c:v>
                </c:pt>
                <c:pt idx="28">
                  <c:v>1.42943307849421</c:v>
                </c:pt>
                <c:pt idx="29">
                  <c:v>1.84273859471555</c:v>
                </c:pt>
              </c:numCache>
            </c:numRef>
          </c:yVal>
          <c:smooth val="1"/>
        </c:ser>
        <c:ser>
          <c:idx val="2"/>
          <c:order val="2"/>
          <c:tx>
            <c:strRef>
              <c:f>[工作记录.xls]对比!$A$81</c:f>
              <c:strCache>
                <c:ptCount val="1"/>
                <c:pt idx="0">
                  <c:v>step size=7</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dLbls>
            <c:delete val="1"/>
          </c:dLbls>
          <c:yVal>
            <c:numRef>
              <c:f>[工作记录.xls]对比!$B$81:$AE$81</c:f>
              <c:numCache>
                <c:formatCode>General</c:formatCode>
                <c:ptCount val="30"/>
                <c:pt idx="0">
                  <c:v>1.68841019874144</c:v>
                </c:pt>
                <c:pt idx="1">
                  <c:v>1.55283793786484</c:v>
                </c:pt>
                <c:pt idx="2">
                  <c:v>1.62276734456333</c:v>
                </c:pt>
                <c:pt idx="3">
                  <c:v>1.52713951335999</c:v>
                </c:pt>
                <c:pt idx="4">
                  <c:v>1.48522963244565</c:v>
                </c:pt>
                <c:pt idx="5">
                  <c:v>1.61694355707996</c:v>
                </c:pt>
                <c:pt idx="6">
                  <c:v>1.75123231724776</c:v>
                </c:pt>
                <c:pt idx="7">
                  <c:v>1.55372276846362</c:v>
                </c:pt>
                <c:pt idx="8">
                  <c:v>1.58332243397652</c:v>
                </c:pt>
                <c:pt idx="9">
                  <c:v>1.62385887588195</c:v>
                </c:pt>
                <c:pt idx="10">
                  <c:v>1.72900471481895</c:v>
                </c:pt>
                <c:pt idx="11">
                  <c:v>1.664151862528</c:v>
                </c:pt>
                <c:pt idx="12">
                  <c:v>1.56413142294008</c:v>
                </c:pt>
                <c:pt idx="13">
                  <c:v>1.68495711542265</c:v>
                </c:pt>
                <c:pt idx="14">
                  <c:v>1.54898550650584</c:v>
                </c:pt>
                <c:pt idx="15">
                  <c:v>1.68513095395815</c:v>
                </c:pt>
                <c:pt idx="16">
                  <c:v>1.79316313766447</c:v>
                </c:pt>
                <c:pt idx="17">
                  <c:v>1.49818384272022</c:v>
                </c:pt>
                <c:pt idx="18">
                  <c:v>1.7548453713785</c:v>
                </c:pt>
                <c:pt idx="19">
                  <c:v>1.65052028731004</c:v>
                </c:pt>
                <c:pt idx="20">
                  <c:v>1.48197875953709</c:v>
                </c:pt>
                <c:pt idx="21">
                  <c:v>1.66879602756347</c:v>
                </c:pt>
                <c:pt idx="22">
                  <c:v>1.55830330621534</c:v>
                </c:pt>
                <c:pt idx="23">
                  <c:v>1.69974226216115</c:v>
                </c:pt>
                <c:pt idx="24">
                  <c:v>1.6738554935808</c:v>
                </c:pt>
                <c:pt idx="25">
                  <c:v>1.73224849386099</c:v>
                </c:pt>
                <c:pt idx="26">
                  <c:v>1.58949608672591</c:v>
                </c:pt>
                <c:pt idx="27">
                  <c:v>1.66320005486671</c:v>
                </c:pt>
                <c:pt idx="28">
                  <c:v>1.47264521614297</c:v>
                </c:pt>
                <c:pt idx="29">
                  <c:v>1.76998890550303</c:v>
                </c:pt>
              </c:numCache>
            </c:numRef>
          </c:yVal>
          <c:smooth val="1"/>
        </c:ser>
        <c:ser>
          <c:idx val="3"/>
          <c:order val="3"/>
          <c:tx>
            <c:strRef>
              <c:f>[工作记录.xls]对比!$A$82</c:f>
              <c:strCache>
                <c:ptCount val="1"/>
                <c:pt idx="0">
                  <c:v>ascending</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dLbls>
            <c:delete val="1"/>
          </c:dLbls>
          <c:yVal>
            <c:numRef>
              <c:f>[工作记录.xls]对比!$B$82:$AE$82</c:f>
              <c:numCache>
                <c:formatCode>General</c:formatCode>
                <c:ptCount val="30"/>
                <c:pt idx="0">
                  <c:v>1.4464514991054</c:v>
                </c:pt>
                <c:pt idx="1">
                  <c:v>1.35006333108995</c:v>
                </c:pt>
                <c:pt idx="2">
                  <c:v>1.6157472890827</c:v>
                </c:pt>
                <c:pt idx="3">
                  <c:v>1.60532307704534</c:v>
                </c:pt>
                <c:pt idx="4">
                  <c:v>1.72565909795372</c:v>
                </c:pt>
                <c:pt idx="5">
                  <c:v>1.51534692756801</c:v>
                </c:pt>
                <c:pt idx="6">
                  <c:v>1.58157474179958</c:v>
                </c:pt>
                <c:pt idx="7">
                  <c:v>1.42252903629358</c:v>
                </c:pt>
                <c:pt idx="8">
                  <c:v>1.53195005370767</c:v>
                </c:pt>
                <c:pt idx="9">
                  <c:v>1.58407726391707</c:v>
                </c:pt>
                <c:pt idx="10">
                  <c:v>1.85112153814221</c:v>
                </c:pt>
                <c:pt idx="11">
                  <c:v>1.82484811660437</c:v>
                </c:pt>
                <c:pt idx="12">
                  <c:v>1.55084140118297</c:v>
                </c:pt>
                <c:pt idx="13">
                  <c:v>1.79906669649202</c:v>
                </c:pt>
                <c:pt idx="14">
                  <c:v>1.50657331895993</c:v>
                </c:pt>
                <c:pt idx="15">
                  <c:v>1.75002814264685</c:v>
                </c:pt>
                <c:pt idx="16">
                  <c:v>1.7068399472396</c:v>
                </c:pt>
                <c:pt idx="17">
                  <c:v>1.69187733067046</c:v>
                </c:pt>
                <c:pt idx="18">
                  <c:v>1.76738451932031</c:v>
                </c:pt>
                <c:pt idx="19">
                  <c:v>1.61887333596911</c:v>
                </c:pt>
                <c:pt idx="20">
                  <c:v>1.4313589984593</c:v>
                </c:pt>
                <c:pt idx="21">
                  <c:v>1.56354684077254</c:v>
                </c:pt>
                <c:pt idx="22">
                  <c:v>1.63412539490621</c:v>
                </c:pt>
                <c:pt idx="23">
                  <c:v>1.61788429907824</c:v>
                </c:pt>
                <c:pt idx="24">
                  <c:v>1.54608639080483</c:v>
                </c:pt>
                <c:pt idx="25">
                  <c:v>1.73987722784826</c:v>
                </c:pt>
                <c:pt idx="26">
                  <c:v>1.54956453338682</c:v>
                </c:pt>
                <c:pt idx="27">
                  <c:v>1.47520615599016</c:v>
                </c:pt>
                <c:pt idx="28">
                  <c:v>1.46679506356536</c:v>
                </c:pt>
                <c:pt idx="29">
                  <c:v>1.83333798643512</c:v>
                </c:pt>
              </c:numCache>
            </c:numRef>
          </c:yVal>
          <c:smooth val="1"/>
        </c:ser>
        <c:dLbls>
          <c:showLegendKey val="0"/>
          <c:showVal val="0"/>
          <c:showCatName val="0"/>
          <c:showSerName val="0"/>
          <c:showPercent val="0"/>
          <c:showBubbleSize val="0"/>
        </c:dLbls>
        <c:axId val="609524914"/>
        <c:axId val="944974256"/>
      </c:scatterChart>
      <c:valAx>
        <c:axId val="609524914"/>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sequence group u</a:t>
                </a:r>
                <a:endParaRPr lang="en-US" altLang="zh-CN"/>
              </a:p>
            </c:rich>
          </c:tx>
          <c:layout/>
          <c:overlay val="0"/>
          <c:spPr>
            <a:noFill/>
            <a:ln>
              <a:noFill/>
            </a:ln>
            <a:effectLst/>
          </c:spPr>
        </c:title>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44974256"/>
        <c:crosses val="autoZero"/>
        <c:crossBetween val="midCat"/>
      </c:valAx>
      <c:valAx>
        <c:axId val="9449742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CM(dB)</a:t>
                </a:r>
                <a:endParaRPr lang="en-US" altLang="zh-CN"/>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09524914"/>
        <c:crosses val="autoZero"/>
        <c:crossBetween val="midCat"/>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2C3993-3037-4E92-AF27-48655D01FC88}">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11</Pages>
  <Words>3417</Words>
  <Characters>19481</Characters>
  <Lines>162</Lines>
  <Paragraphs>45</Paragraphs>
  <TotalTime>4</TotalTime>
  <ScaleCrop>false</ScaleCrop>
  <LinksUpToDate>false</LinksUpToDate>
  <CharactersWithSpaces>22853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2018-09-28T19:40:00Z</dcterms:created>
  <dc:creator>ZTE</dc:creator>
  <cp:lastModifiedBy>Yang Ling</cp:lastModifiedBy>
  <cp:lastPrinted>2018-02-16T23:29:00Z</cp:lastPrinted>
  <dcterms:modified xsi:type="dcterms:W3CDTF">2019-10-02T15:18:53Z</dcterms:modified>
  <dc:title>3GPP TSG RAN</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